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0D0C3A" w:rsidRDefault="00201B8E">
      <w:pPr>
        <w:rPr>
          <w:lang w:val="en-GB"/>
        </w:rPr>
      </w:pPr>
      <w:r>
        <w:rPr>
          <w:noProof/>
        </w:rPr>
        <w:drawing>
          <wp:inline distT="0" distB="0" distL="0" distR="0">
            <wp:extent cx="6019800" cy="1581150"/>
            <wp:effectExtent l="19050" t="0" r="0" b="0"/>
            <wp:docPr id="1" name="Picture 0" descr="Description : 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 HRAP_NEW_banner-eng.jpg"/>
                    <pic:cNvPicPr>
                      <a:picLocks noChangeAspect="1" noChangeArrowheads="1"/>
                    </pic:cNvPicPr>
                  </pic:nvPicPr>
                  <pic:blipFill>
                    <a:blip r:embed="rId9"/>
                    <a:srcRect/>
                    <a:stretch>
                      <a:fillRect/>
                    </a:stretch>
                  </pic:blipFill>
                  <pic:spPr bwMode="auto">
                    <a:xfrm>
                      <a:off x="0" y="0"/>
                      <a:ext cx="6019800" cy="1581150"/>
                    </a:xfrm>
                    <a:prstGeom prst="rect">
                      <a:avLst/>
                    </a:prstGeom>
                    <a:noFill/>
                    <a:ln w="9525">
                      <a:noFill/>
                      <a:miter lim="800000"/>
                      <a:headEnd/>
                      <a:tailEnd/>
                    </a:ln>
                  </pic:spPr>
                </pic:pic>
              </a:graphicData>
            </a:graphic>
          </wp:inline>
        </w:drawing>
      </w:r>
    </w:p>
    <w:p w:rsidR="009E5115" w:rsidRDefault="009E5115" w:rsidP="0002123B">
      <w:pPr>
        <w:autoSpaceDE w:val="0"/>
        <w:jc w:val="center"/>
        <w:rPr>
          <w:b/>
          <w:bCs/>
          <w:lang w:val="en-GB"/>
        </w:rPr>
      </w:pPr>
    </w:p>
    <w:p w:rsidR="00761195" w:rsidRPr="000D0C3A" w:rsidRDefault="00761195" w:rsidP="0002123B">
      <w:pPr>
        <w:autoSpaceDE w:val="0"/>
        <w:jc w:val="center"/>
        <w:rPr>
          <w:b/>
          <w:bCs/>
          <w:lang w:val="en-GB"/>
        </w:rPr>
      </w:pPr>
    </w:p>
    <w:p w:rsidR="000F7E70" w:rsidRPr="000D0C3A" w:rsidRDefault="000F7E70" w:rsidP="0002123B">
      <w:pPr>
        <w:autoSpaceDE w:val="0"/>
        <w:jc w:val="center"/>
        <w:rPr>
          <w:b/>
          <w:bCs/>
          <w:lang w:val="en-GB"/>
        </w:rPr>
      </w:pPr>
      <w:r w:rsidRPr="000D0C3A">
        <w:rPr>
          <w:b/>
          <w:bCs/>
          <w:lang w:val="en-GB"/>
        </w:rPr>
        <w:t>OPINION</w:t>
      </w:r>
    </w:p>
    <w:p w:rsidR="0002123B" w:rsidRDefault="0002123B" w:rsidP="000F7E70">
      <w:pPr>
        <w:autoSpaceDE w:val="0"/>
        <w:jc w:val="both"/>
        <w:rPr>
          <w:b/>
          <w:bCs/>
          <w:lang w:val="en-GB"/>
        </w:rPr>
      </w:pPr>
    </w:p>
    <w:p w:rsidR="00761195" w:rsidRPr="000D0C3A" w:rsidRDefault="00761195" w:rsidP="000F7E70">
      <w:pPr>
        <w:autoSpaceDE w:val="0"/>
        <w:jc w:val="both"/>
        <w:rPr>
          <w:b/>
          <w:bCs/>
          <w:lang w:val="en-GB"/>
        </w:rPr>
      </w:pPr>
    </w:p>
    <w:p w:rsidR="000F7E70" w:rsidRPr="00694110" w:rsidRDefault="000F7E70" w:rsidP="000F7E70">
      <w:pPr>
        <w:autoSpaceDE w:val="0"/>
        <w:jc w:val="both"/>
        <w:rPr>
          <w:b/>
          <w:bCs/>
          <w:lang w:val="en-GB"/>
        </w:rPr>
      </w:pPr>
      <w:r w:rsidRPr="00694110">
        <w:rPr>
          <w:b/>
          <w:bCs/>
          <w:lang w:val="en-GB"/>
        </w:rPr>
        <w:t xml:space="preserve">Date of adoption: </w:t>
      </w:r>
      <w:r w:rsidR="00694110" w:rsidRPr="00694110">
        <w:rPr>
          <w:b/>
          <w:bCs/>
          <w:lang w:val="en-GB"/>
        </w:rPr>
        <w:t>14</w:t>
      </w:r>
      <w:r w:rsidR="00672C40" w:rsidRPr="00694110">
        <w:rPr>
          <w:b/>
          <w:bCs/>
          <w:lang w:val="en-GB"/>
        </w:rPr>
        <w:t xml:space="preserve"> December </w:t>
      </w:r>
      <w:r w:rsidRPr="00694110">
        <w:rPr>
          <w:b/>
          <w:bCs/>
          <w:lang w:val="en-GB"/>
        </w:rPr>
        <w:t>20</w:t>
      </w:r>
      <w:r w:rsidR="00C905F1" w:rsidRPr="00694110">
        <w:rPr>
          <w:b/>
          <w:bCs/>
          <w:lang w:val="en-GB"/>
        </w:rPr>
        <w:t>1</w:t>
      </w:r>
      <w:r w:rsidR="00361105" w:rsidRPr="00694110">
        <w:rPr>
          <w:b/>
          <w:bCs/>
          <w:lang w:val="en-GB"/>
        </w:rPr>
        <w:t>4</w:t>
      </w:r>
    </w:p>
    <w:p w:rsidR="00BE2EF2" w:rsidRPr="00694110" w:rsidRDefault="00BE2EF2" w:rsidP="000F7E70">
      <w:pPr>
        <w:autoSpaceDE w:val="0"/>
        <w:jc w:val="both"/>
        <w:rPr>
          <w:b/>
          <w:bCs/>
          <w:lang w:val="en-GB"/>
        </w:rPr>
      </w:pPr>
    </w:p>
    <w:p w:rsidR="00672C40" w:rsidRPr="00694110" w:rsidRDefault="00BE2EF2" w:rsidP="00672C40">
      <w:pPr>
        <w:autoSpaceDE w:val="0"/>
        <w:autoSpaceDN w:val="0"/>
        <w:adjustRightInd w:val="0"/>
        <w:jc w:val="both"/>
        <w:rPr>
          <w:b/>
          <w:bCs/>
        </w:rPr>
      </w:pPr>
      <w:r w:rsidRPr="00694110">
        <w:rPr>
          <w:b/>
          <w:bCs/>
          <w:lang w:val="en-GB"/>
        </w:rPr>
        <w:t xml:space="preserve">Cases </w:t>
      </w:r>
      <w:r w:rsidR="000253E8" w:rsidRPr="00694110">
        <w:rPr>
          <w:b/>
          <w:bCs/>
          <w:lang w:val="en-GB"/>
        </w:rPr>
        <w:t>Nos</w:t>
      </w:r>
      <w:r w:rsidR="00AC5114" w:rsidRPr="00694110">
        <w:rPr>
          <w:b/>
          <w:bCs/>
          <w:lang w:val="en-GB"/>
        </w:rPr>
        <w:t xml:space="preserve"> </w:t>
      </w:r>
      <w:r w:rsidR="00672C40" w:rsidRPr="00694110">
        <w:rPr>
          <w:b/>
        </w:rPr>
        <w:t>72/09, 73/09, 74/09, 75/09, 76/09, 78/09, 95/09 and 96/09</w:t>
      </w:r>
    </w:p>
    <w:p w:rsidR="00641D5D" w:rsidRDefault="00641D5D" w:rsidP="00BE2EF2">
      <w:pPr>
        <w:autoSpaceDE w:val="0"/>
        <w:jc w:val="both"/>
        <w:rPr>
          <w:b/>
          <w:bCs/>
          <w:lang w:val="en-GB"/>
        </w:rPr>
      </w:pPr>
    </w:p>
    <w:p w:rsidR="00761195" w:rsidRDefault="00761195" w:rsidP="00BE2EF2">
      <w:pPr>
        <w:autoSpaceDE w:val="0"/>
        <w:jc w:val="both"/>
        <w:rPr>
          <w:b/>
          <w:bCs/>
          <w:lang w:val="en-GB"/>
        </w:rPr>
      </w:pPr>
    </w:p>
    <w:p w:rsidR="00694110" w:rsidRPr="00694110" w:rsidRDefault="00694110" w:rsidP="00BE2EF2">
      <w:pPr>
        <w:autoSpaceDE w:val="0"/>
        <w:jc w:val="both"/>
        <w:rPr>
          <w:b/>
          <w:bCs/>
          <w:lang w:val="en-GB"/>
        </w:rPr>
      </w:pPr>
    </w:p>
    <w:p w:rsidR="00AC5114" w:rsidRPr="00694110" w:rsidRDefault="00672C40" w:rsidP="000F7E70">
      <w:pPr>
        <w:autoSpaceDE w:val="0"/>
        <w:jc w:val="both"/>
        <w:rPr>
          <w:b/>
          <w:bCs/>
          <w:lang w:val="en-GB"/>
        </w:rPr>
      </w:pPr>
      <w:r w:rsidRPr="00694110">
        <w:rPr>
          <w:b/>
          <w:bCs/>
          <w:lang w:val="en-GB"/>
        </w:rPr>
        <w:t xml:space="preserve">Lela </w:t>
      </w:r>
      <w:bookmarkStart w:id="0" w:name="_GoBack"/>
      <w:r w:rsidRPr="00694110">
        <w:rPr>
          <w:b/>
          <w:bCs/>
          <w:lang w:val="en-GB"/>
        </w:rPr>
        <w:t>NIKOLIĆ</w:t>
      </w:r>
      <w:bookmarkEnd w:id="0"/>
      <w:r w:rsidRPr="00694110">
        <w:rPr>
          <w:b/>
          <w:bCs/>
          <w:lang w:val="en-GB"/>
        </w:rPr>
        <w:t xml:space="preserve">, </w:t>
      </w:r>
      <w:proofErr w:type="spellStart"/>
      <w:r w:rsidRPr="00694110">
        <w:rPr>
          <w:b/>
          <w:bCs/>
          <w:lang w:val="en-GB"/>
        </w:rPr>
        <w:t>Rosanda</w:t>
      </w:r>
      <w:proofErr w:type="spellEnd"/>
      <w:r w:rsidRPr="00694110">
        <w:rPr>
          <w:b/>
          <w:bCs/>
          <w:lang w:val="en-GB"/>
        </w:rPr>
        <w:t xml:space="preserve"> KABAŠ and Milan PETROVIĆ</w:t>
      </w:r>
    </w:p>
    <w:p w:rsidR="00672C40" w:rsidRPr="00694110" w:rsidRDefault="00672C40" w:rsidP="000F7E70">
      <w:pPr>
        <w:autoSpaceDE w:val="0"/>
        <w:jc w:val="both"/>
        <w:rPr>
          <w:b/>
          <w:bCs/>
          <w:lang w:val="en-GB"/>
        </w:rPr>
      </w:pPr>
    </w:p>
    <w:p w:rsidR="000F7E70" w:rsidRPr="00694110" w:rsidRDefault="000F7E70" w:rsidP="000F7E70">
      <w:pPr>
        <w:autoSpaceDE w:val="0"/>
        <w:jc w:val="both"/>
        <w:rPr>
          <w:b/>
          <w:bCs/>
          <w:lang w:val="en-GB"/>
        </w:rPr>
      </w:pPr>
      <w:proofErr w:type="gramStart"/>
      <w:r w:rsidRPr="00694110">
        <w:rPr>
          <w:b/>
          <w:bCs/>
          <w:lang w:val="en-GB"/>
        </w:rPr>
        <w:t>against</w:t>
      </w:r>
      <w:proofErr w:type="gramEnd"/>
    </w:p>
    <w:p w:rsidR="000F7E70" w:rsidRPr="00694110" w:rsidRDefault="000F7E70" w:rsidP="000F7E70">
      <w:pPr>
        <w:autoSpaceDE w:val="0"/>
        <w:jc w:val="both"/>
        <w:rPr>
          <w:b/>
          <w:bCs/>
          <w:lang w:val="en-GB"/>
        </w:rPr>
      </w:pPr>
    </w:p>
    <w:p w:rsidR="000F7E70" w:rsidRPr="00694110" w:rsidRDefault="000F7E70" w:rsidP="000F7E70">
      <w:pPr>
        <w:autoSpaceDE w:val="0"/>
        <w:jc w:val="both"/>
        <w:rPr>
          <w:b/>
          <w:bCs/>
          <w:lang w:val="en-GB"/>
        </w:rPr>
      </w:pPr>
      <w:r w:rsidRPr="00694110">
        <w:rPr>
          <w:b/>
          <w:bCs/>
          <w:lang w:val="en-GB"/>
        </w:rPr>
        <w:t>U</w:t>
      </w:r>
      <w:r w:rsidR="008F4B86" w:rsidRPr="00694110">
        <w:rPr>
          <w:b/>
          <w:bCs/>
          <w:lang w:val="en-GB"/>
        </w:rPr>
        <w:t>NMIK</w:t>
      </w:r>
    </w:p>
    <w:p w:rsidR="00E07C8C" w:rsidRDefault="00E07C8C" w:rsidP="000F7E70">
      <w:pPr>
        <w:autoSpaceDE w:val="0"/>
        <w:jc w:val="both"/>
        <w:rPr>
          <w:b/>
          <w:bCs/>
          <w:lang w:val="en-GB"/>
        </w:rPr>
      </w:pPr>
    </w:p>
    <w:p w:rsidR="00761195" w:rsidRPr="00694110" w:rsidRDefault="00761195" w:rsidP="000F7E70">
      <w:pPr>
        <w:autoSpaceDE w:val="0"/>
        <w:jc w:val="both"/>
        <w:rPr>
          <w:b/>
          <w:bCs/>
          <w:lang w:val="en-GB"/>
        </w:rPr>
      </w:pPr>
    </w:p>
    <w:p w:rsidR="00AC5114" w:rsidRPr="00694110" w:rsidRDefault="00AC5114" w:rsidP="000F7E70">
      <w:pPr>
        <w:autoSpaceDE w:val="0"/>
        <w:jc w:val="both"/>
        <w:rPr>
          <w:b/>
          <w:bCs/>
          <w:lang w:val="en-GB"/>
        </w:rPr>
      </w:pPr>
    </w:p>
    <w:p w:rsidR="000F7E70" w:rsidRPr="00694110" w:rsidRDefault="000F7E70" w:rsidP="000F7E70">
      <w:pPr>
        <w:autoSpaceDE w:val="0"/>
        <w:jc w:val="both"/>
        <w:rPr>
          <w:lang w:val="en-GB"/>
        </w:rPr>
      </w:pPr>
      <w:r w:rsidRPr="00694110">
        <w:rPr>
          <w:lang w:val="en-GB"/>
        </w:rPr>
        <w:t>The Human Rights Advisory Panel</w:t>
      </w:r>
      <w:r w:rsidR="000C1973" w:rsidRPr="00694110">
        <w:rPr>
          <w:lang w:val="en-GB"/>
        </w:rPr>
        <w:t>,</w:t>
      </w:r>
      <w:r w:rsidR="00361105" w:rsidRPr="00694110">
        <w:rPr>
          <w:lang w:val="en-GB"/>
        </w:rPr>
        <w:t xml:space="preserve"> </w:t>
      </w:r>
      <w:r w:rsidR="00DA502E" w:rsidRPr="00694110">
        <w:rPr>
          <w:lang w:val="en-GB"/>
        </w:rPr>
        <w:t xml:space="preserve">sitting </w:t>
      </w:r>
      <w:r w:rsidRPr="00694110">
        <w:rPr>
          <w:lang w:val="en-GB"/>
        </w:rPr>
        <w:t>on</w:t>
      </w:r>
      <w:r w:rsidR="00552069" w:rsidRPr="00694110">
        <w:rPr>
          <w:lang w:val="en-GB"/>
        </w:rPr>
        <w:t xml:space="preserve"> </w:t>
      </w:r>
      <w:r w:rsidR="00694110" w:rsidRPr="00694110">
        <w:rPr>
          <w:lang w:val="en-GB"/>
        </w:rPr>
        <w:t>14</w:t>
      </w:r>
      <w:r w:rsidR="00672C40" w:rsidRPr="00694110">
        <w:rPr>
          <w:lang w:val="en-GB"/>
        </w:rPr>
        <w:t xml:space="preserve"> Dece</w:t>
      </w:r>
      <w:r w:rsidR="007E788B" w:rsidRPr="00694110">
        <w:rPr>
          <w:lang w:val="en-GB"/>
        </w:rPr>
        <w:t>mber</w:t>
      </w:r>
      <w:r w:rsidR="00361105" w:rsidRPr="00694110">
        <w:rPr>
          <w:lang w:val="en-GB"/>
        </w:rPr>
        <w:t xml:space="preserve"> 2014</w:t>
      </w:r>
      <w:r w:rsidRPr="00694110">
        <w:rPr>
          <w:lang w:val="en-GB"/>
        </w:rPr>
        <w:t xml:space="preserve">, </w:t>
      </w:r>
    </w:p>
    <w:p w:rsidR="000F7E70" w:rsidRPr="000D0C3A" w:rsidRDefault="000F7E70" w:rsidP="000F7E70">
      <w:pPr>
        <w:autoSpaceDE w:val="0"/>
        <w:jc w:val="both"/>
        <w:rPr>
          <w:lang w:val="en-GB"/>
        </w:rPr>
      </w:pPr>
      <w:proofErr w:type="gramStart"/>
      <w:r w:rsidRPr="00694110">
        <w:rPr>
          <w:lang w:val="en-GB"/>
        </w:rPr>
        <w:t>with</w:t>
      </w:r>
      <w:proofErr w:type="gramEnd"/>
      <w:r w:rsidRPr="00694110">
        <w:rPr>
          <w:lang w:val="en-GB"/>
        </w:rPr>
        <w:t xml:space="preserve"> the following members </w:t>
      </w:r>
      <w:r w:rsidR="00DA502E" w:rsidRPr="00694110">
        <w:rPr>
          <w:lang w:val="en-GB"/>
        </w:rPr>
        <w:t>present</w:t>
      </w:r>
      <w:r w:rsidRPr="00694110">
        <w:rPr>
          <w:lang w:val="en-GB"/>
        </w:rPr>
        <w:t>:</w:t>
      </w:r>
    </w:p>
    <w:p w:rsidR="000F7E70" w:rsidRPr="000D0C3A" w:rsidRDefault="000F7E70" w:rsidP="000F7E70">
      <w:pPr>
        <w:autoSpaceDE w:val="0"/>
        <w:jc w:val="both"/>
        <w:rPr>
          <w:lang w:val="en-GB"/>
        </w:rPr>
      </w:pPr>
    </w:p>
    <w:p w:rsidR="00E07C8C" w:rsidRPr="000D0C3A" w:rsidRDefault="00E07C8C" w:rsidP="000F7E70">
      <w:pPr>
        <w:autoSpaceDE w:val="0"/>
        <w:jc w:val="both"/>
        <w:rPr>
          <w:lang w:val="en-GB"/>
        </w:rPr>
      </w:pPr>
      <w:r w:rsidRPr="000D0C3A">
        <w:rPr>
          <w:lang w:val="en-GB"/>
        </w:rPr>
        <w:t xml:space="preserve">Marek </w:t>
      </w:r>
      <w:r w:rsidR="0064627F" w:rsidRPr="000D0C3A">
        <w:rPr>
          <w:lang w:val="en-GB"/>
        </w:rPr>
        <w:t>Nowicki</w:t>
      </w:r>
      <w:r w:rsidRPr="000D0C3A">
        <w:rPr>
          <w:lang w:val="en-GB"/>
        </w:rPr>
        <w:t>, Presiding Membe</w:t>
      </w:r>
      <w:r w:rsidR="000D5BCF" w:rsidRPr="000D0C3A">
        <w:rPr>
          <w:lang w:val="en-GB"/>
        </w:rPr>
        <w:t>r</w:t>
      </w:r>
    </w:p>
    <w:p w:rsidR="000F7E70" w:rsidRPr="000D0C3A" w:rsidRDefault="00E07C8C" w:rsidP="000F7E70">
      <w:pPr>
        <w:autoSpaceDE w:val="0"/>
        <w:jc w:val="both"/>
        <w:rPr>
          <w:lang w:val="en-GB"/>
        </w:rPr>
      </w:pPr>
      <w:r w:rsidRPr="000D0C3A">
        <w:rPr>
          <w:lang w:val="en-GB"/>
        </w:rPr>
        <w:t xml:space="preserve">Christine </w:t>
      </w:r>
      <w:r w:rsidR="0064627F" w:rsidRPr="000D0C3A">
        <w:rPr>
          <w:lang w:val="en-GB"/>
        </w:rPr>
        <w:t>Chinkin</w:t>
      </w:r>
    </w:p>
    <w:p w:rsidR="00A40F98" w:rsidRPr="000D0C3A" w:rsidRDefault="00A40F98" w:rsidP="000F7E70">
      <w:pPr>
        <w:autoSpaceDE w:val="0"/>
        <w:jc w:val="both"/>
        <w:rPr>
          <w:color w:val="FF0000"/>
          <w:lang w:val="en-GB"/>
        </w:rPr>
      </w:pPr>
      <w:r w:rsidRPr="000D0C3A">
        <w:rPr>
          <w:lang w:val="en-GB"/>
        </w:rPr>
        <w:t xml:space="preserve">Françoise </w:t>
      </w:r>
      <w:r w:rsidR="0064627F" w:rsidRPr="000D0C3A">
        <w:rPr>
          <w:lang w:val="en-GB"/>
        </w:rPr>
        <w:t>Tulkens</w:t>
      </w:r>
    </w:p>
    <w:p w:rsidR="000F7E70" w:rsidRDefault="000F7E70" w:rsidP="000F7E70">
      <w:pPr>
        <w:autoSpaceDE w:val="0"/>
        <w:jc w:val="both"/>
        <w:rPr>
          <w:lang w:val="en-GB"/>
        </w:rPr>
      </w:pPr>
    </w:p>
    <w:p w:rsidR="000F7E70" w:rsidRPr="000D0C3A" w:rsidRDefault="00E07C8C" w:rsidP="000F7E70">
      <w:pPr>
        <w:autoSpaceDE w:val="0"/>
        <w:jc w:val="both"/>
        <w:rPr>
          <w:lang w:val="en-GB"/>
        </w:rPr>
      </w:pPr>
      <w:r w:rsidRPr="000D0C3A">
        <w:rPr>
          <w:lang w:val="en-GB"/>
        </w:rPr>
        <w:t>Assisted by</w:t>
      </w:r>
    </w:p>
    <w:p w:rsidR="000F7E70" w:rsidRPr="000D0C3A" w:rsidRDefault="00E07C8C" w:rsidP="000F7E70">
      <w:pPr>
        <w:autoSpaceDE w:val="0"/>
        <w:jc w:val="both"/>
        <w:rPr>
          <w:lang w:val="en-GB"/>
        </w:rPr>
      </w:pPr>
      <w:r w:rsidRPr="000D0C3A">
        <w:rPr>
          <w:lang w:val="en-GB"/>
        </w:rPr>
        <w:t xml:space="preserve">Andrey </w:t>
      </w:r>
      <w:r w:rsidR="0064627F" w:rsidRPr="000D0C3A">
        <w:rPr>
          <w:lang w:val="en-GB"/>
        </w:rPr>
        <w:t>Antonov</w:t>
      </w:r>
      <w:r w:rsidR="000F7E70" w:rsidRPr="000D0C3A">
        <w:rPr>
          <w:lang w:val="en-GB"/>
        </w:rPr>
        <w:t>, Executive Officer</w:t>
      </w:r>
    </w:p>
    <w:p w:rsidR="000F7E70" w:rsidRPr="000D0C3A" w:rsidRDefault="000F7E70" w:rsidP="000F7E70">
      <w:pPr>
        <w:autoSpaceDE w:val="0"/>
        <w:jc w:val="both"/>
        <w:rPr>
          <w:lang w:val="en-GB"/>
        </w:rPr>
      </w:pPr>
    </w:p>
    <w:p w:rsidR="00E07C8C" w:rsidRPr="000D0C3A" w:rsidRDefault="00E07C8C" w:rsidP="000F7E70">
      <w:pPr>
        <w:autoSpaceDE w:val="0"/>
        <w:jc w:val="both"/>
        <w:rPr>
          <w:lang w:val="en-GB"/>
        </w:rPr>
      </w:pPr>
    </w:p>
    <w:p w:rsidR="000F7E70" w:rsidRPr="000D0C3A" w:rsidRDefault="000F7E70" w:rsidP="000F7E70">
      <w:pPr>
        <w:autoSpaceDE w:val="0"/>
        <w:jc w:val="both"/>
        <w:rPr>
          <w:lang w:val="en-GB"/>
        </w:rPr>
      </w:pPr>
      <w:r w:rsidRPr="000D0C3A">
        <w:rPr>
          <w:lang w:val="en-GB"/>
        </w:rPr>
        <w:t>Having considered the aforementioned complaint</w:t>
      </w:r>
      <w:r w:rsidR="006F5E88" w:rsidRPr="000D0C3A">
        <w:rPr>
          <w:lang w:val="en-GB"/>
        </w:rPr>
        <w:t>s</w:t>
      </w:r>
      <w:r w:rsidRPr="000D0C3A">
        <w:rPr>
          <w:lang w:val="en-GB"/>
        </w:rPr>
        <w:t>, introduced pursuant to Section 1.2 of UNMIK Regulation No. 2006/12 of 23 March 2006 on the establishment of the Human Rights Advisory Panel,</w:t>
      </w:r>
    </w:p>
    <w:p w:rsidR="000F7E70" w:rsidRPr="000D0C3A" w:rsidRDefault="000F7E70" w:rsidP="000F7E70">
      <w:pPr>
        <w:autoSpaceDE w:val="0"/>
        <w:jc w:val="both"/>
        <w:rPr>
          <w:lang w:val="en-GB"/>
        </w:rPr>
      </w:pPr>
    </w:p>
    <w:p w:rsidR="000F7E70" w:rsidRPr="000D0C3A" w:rsidRDefault="000F7E70" w:rsidP="000F7E70">
      <w:pPr>
        <w:autoSpaceDE w:val="0"/>
        <w:jc w:val="both"/>
        <w:rPr>
          <w:lang w:val="en-GB"/>
        </w:rPr>
      </w:pPr>
      <w:r w:rsidRPr="000D0C3A">
        <w:rPr>
          <w:lang w:val="en-GB"/>
        </w:rPr>
        <w:t xml:space="preserve">Having </w:t>
      </w:r>
      <w:proofErr w:type="gramStart"/>
      <w:r w:rsidR="00361105" w:rsidRPr="000D0C3A">
        <w:rPr>
          <w:lang w:val="en-GB"/>
        </w:rPr>
        <w:t>deliberated</w:t>
      </w:r>
      <w:r w:rsidR="00BE2EF2" w:rsidRPr="000D0C3A">
        <w:rPr>
          <w:lang w:val="en-GB"/>
        </w:rPr>
        <w:t>,</w:t>
      </w:r>
      <w:proofErr w:type="gramEnd"/>
      <w:r w:rsidR="00BE2EF2" w:rsidRPr="000D0C3A">
        <w:rPr>
          <w:lang w:val="en-GB"/>
        </w:rPr>
        <w:t xml:space="preserve"> </w:t>
      </w:r>
      <w:r w:rsidRPr="000D0C3A">
        <w:rPr>
          <w:lang w:val="en-GB"/>
        </w:rPr>
        <w:t>makes the following findings and recommendations:</w:t>
      </w:r>
    </w:p>
    <w:p w:rsidR="000F7E70" w:rsidRPr="000D0C3A" w:rsidRDefault="000F7E70" w:rsidP="000F7E70">
      <w:pPr>
        <w:autoSpaceDE w:val="0"/>
        <w:jc w:val="both"/>
        <w:rPr>
          <w:lang w:val="en-GB"/>
        </w:rPr>
      </w:pPr>
    </w:p>
    <w:p w:rsidR="0016154E" w:rsidRPr="000D0C3A" w:rsidRDefault="0016154E" w:rsidP="000F7E70">
      <w:pPr>
        <w:autoSpaceDE w:val="0"/>
        <w:jc w:val="both"/>
        <w:rPr>
          <w:lang w:val="en-GB"/>
        </w:rPr>
      </w:pPr>
    </w:p>
    <w:p w:rsidR="00E025EE" w:rsidRDefault="00E025EE" w:rsidP="00E025EE">
      <w:pPr>
        <w:suppressAutoHyphens/>
        <w:autoSpaceDE w:val="0"/>
        <w:ind w:left="360"/>
        <w:jc w:val="both"/>
        <w:rPr>
          <w:b/>
          <w:bCs/>
          <w:lang w:val="en-GB"/>
        </w:rPr>
      </w:pPr>
    </w:p>
    <w:p w:rsidR="00E025EE" w:rsidRDefault="00E025EE" w:rsidP="00E025EE">
      <w:pPr>
        <w:suppressAutoHyphens/>
        <w:autoSpaceDE w:val="0"/>
        <w:ind w:left="360"/>
        <w:jc w:val="both"/>
        <w:rPr>
          <w:b/>
          <w:bCs/>
          <w:lang w:val="en-GB"/>
        </w:rPr>
      </w:pPr>
    </w:p>
    <w:p w:rsidR="0016154E" w:rsidRPr="000D0C3A" w:rsidRDefault="0016154E" w:rsidP="003D4233">
      <w:pPr>
        <w:numPr>
          <w:ilvl w:val="0"/>
          <w:numId w:val="1"/>
        </w:numPr>
        <w:suppressAutoHyphens/>
        <w:autoSpaceDE w:val="0"/>
        <w:ind w:left="360" w:hanging="360"/>
        <w:jc w:val="both"/>
        <w:rPr>
          <w:b/>
          <w:bCs/>
          <w:lang w:val="en-GB"/>
        </w:rPr>
      </w:pPr>
      <w:r w:rsidRPr="000D0C3A">
        <w:rPr>
          <w:b/>
          <w:bCs/>
          <w:lang w:val="en-GB"/>
        </w:rPr>
        <w:t>PROCEEDINGS BEFORE THE PANEL</w:t>
      </w:r>
    </w:p>
    <w:p w:rsidR="0016154E" w:rsidRDefault="0016154E" w:rsidP="0016154E">
      <w:pPr>
        <w:autoSpaceDE w:val="0"/>
        <w:jc w:val="both"/>
        <w:rPr>
          <w:b/>
          <w:bCs/>
          <w:lang w:val="en-GB"/>
        </w:rPr>
      </w:pPr>
    </w:p>
    <w:p w:rsidR="002A77CB" w:rsidRPr="002A77CB" w:rsidRDefault="002A77CB" w:rsidP="0016154E">
      <w:pPr>
        <w:autoSpaceDE w:val="0"/>
        <w:jc w:val="both"/>
        <w:rPr>
          <w:b/>
          <w:bCs/>
          <w:i/>
          <w:lang w:val="en-GB"/>
        </w:rPr>
      </w:pPr>
      <w:r w:rsidRPr="00EE6125">
        <w:rPr>
          <w:i/>
          <w:color w:val="000000"/>
        </w:rPr>
        <w:t xml:space="preserve">Complaints of Ms Lela </w:t>
      </w:r>
      <w:proofErr w:type="spellStart"/>
      <w:r w:rsidRPr="00EE6125">
        <w:rPr>
          <w:i/>
          <w:color w:val="000000"/>
        </w:rPr>
        <w:t>Nikolić</w:t>
      </w:r>
      <w:proofErr w:type="spellEnd"/>
      <w:r w:rsidRPr="00EE6125">
        <w:rPr>
          <w:i/>
          <w:color w:val="000000"/>
        </w:rPr>
        <w:t xml:space="preserve"> (cases </w:t>
      </w:r>
      <w:proofErr w:type="spellStart"/>
      <w:r w:rsidRPr="00EE6125">
        <w:rPr>
          <w:i/>
          <w:color w:val="000000"/>
        </w:rPr>
        <w:t>nos</w:t>
      </w:r>
      <w:proofErr w:type="spellEnd"/>
      <w:r w:rsidRPr="00EE6125">
        <w:rPr>
          <w:i/>
          <w:color w:val="000000"/>
        </w:rPr>
        <w:t xml:space="preserve"> </w:t>
      </w:r>
      <w:r w:rsidRPr="00EE6125">
        <w:rPr>
          <w:bCs/>
          <w:i/>
          <w:color w:val="000000"/>
        </w:rPr>
        <w:t>72/09, 73/09, 74/09, 75/09 and 76/09</w:t>
      </w:r>
      <w:r w:rsidRPr="00EE6125">
        <w:rPr>
          <w:i/>
          <w:color w:val="000000"/>
        </w:rPr>
        <w:t>)</w:t>
      </w:r>
    </w:p>
    <w:p w:rsidR="002A77CB" w:rsidRPr="000D0C3A" w:rsidRDefault="002A77CB" w:rsidP="0016154E">
      <w:pPr>
        <w:autoSpaceDE w:val="0"/>
        <w:jc w:val="both"/>
        <w:rPr>
          <w:b/>
          <w:bCs/>
          <w:lang w:val="en-GB"/>
        </w:rPr>
      </w:pPr>
    </w:p>
    <w:p w:rsidR="00672C40" w:rsidRPr="00EE6125" w:rsidRDefault="00F7574F" w:rsidP="00E025EE">
      <w:pPr>
        <w:pStyle w:val="ColorfulList-Accent11"/>
        <w:numPr>
          <w:ilvl w:val="0"/>
          <w:numId w:val="2"/>
        </w:numPr>
        <w:tabs>
          <w:tab w:val="clear" w:pos="810"/>
          <w:tab w:val="num" w:pos="360"/>
        </w:tabs>
        <w:suppressAutoHyphens w:val="0"/>
        <w:autoSpaceDE w:val="0"/>
        <w:autoSpaceDN w:val="0"/>
        <w:adjustRightInd w:val="0"/>
        <w:ind w:left="360"/>
        <w:jc w:val="both"/>
        <w:rPr>
          <w:color w:val="000000"/>
        </w:rPr>
      </w:pPr>
      <w:r w:rsidRPr="00EE6125">
        <w:rPr>
          <w:color w:val="000000"/>
        </w:rPr>
        <w:t xml:space="preserve">The </w:t>
      </w:r>
      <w:r w:rsidR="000E12B1">
        <w:rPr>
          <w:color w:val="000000"/>
        </w:rPr>
        <w:t xml:space="preserve">five </w:t>
      </w:r>
      <w:r w:rsidRPr="00EE6125">
        <w:rPr>
          <w:color w:val="000000"/>
        </w:rPr>
        <w:t>complaint</w:t>
      </w:r>
      <w:r w:rsidR="00672C40" w:rsidRPr="00EE6125">
        <w:rPr>
          <w:color w:val="000000"/>
        </w:rPr>
        <w:t>s of</w:t>
      </w:r>
      <w:r w:rsidRPr="00EE6125">
        <w:rPr>
          <w:color w:val="000000"/>
        </w:rPr>
        <w:t xml:space="preserve"> Ms </w:t>
      </w:r>
      <w:r w:rsidR="00672C40" w:rsidRPr="00EE6125">
        <w:rPr>
          <w:color w:val="000000"/>
        </w:rPr>
        <w:t xml:space="preserve">Lela </w:t>
      </w:r>
      <w:proofErr w:type="spellStart"/>
      <w:r w:rsidR="00672C40" w:rsidRPr="00EE6125">
        <w:rPr>
          <w:color w:val="000000"/>
        </w:rPr>
        <w:t>Nikolić</w:t>
      </w:r>
      <w:proofErr w:type="spellEnd"/>
      <w:r w:rsidR="00672C40" w:rsidRPr="00EE6125">
        <w:rPr>
          <w:color w:val="000000"/>
        </w:rPr>
        <w:t xml:space="preserve"> </w:t>
      </w:r>
      <w:r w:rsidRPr="00EE6125">
        <w:rPr>
          <w:color w:val="000000"/>
        </w:rPr>
        <w:t>(</w:t>
      </w:r>
      <w:r w:rsidR="002A77CB" w:rsidRPr="00EE6125">
        <w:rPr>
          <w:color w:val="000000"/>
        </w:rPr>
        <w:t xml:space="preserve">cases </w:t>
      </w:r>
      <w:proofErr w:type="spellStart"/>
      <w:r w:rsidRPr="00EE6125">
        <w:rPr>
          <w:color w:val="000000"/>
        </w:rPr>
        <w:t>no</w:t>
      </w:r>
      <w:r w:rsidR="00672C40" w:rsidRPr="00EE6125">
        <w:rPr>
          <w:color w:val="000000"/>
        </w:rPr>
        <w:t>s</w:t>
      </w:r>
      <w:proofErr w:type="spellEnd"/>
      <w:r w:rsidR="00672C40" w:rsidRPr="00EE6125">
        <w:rPr>
          <w:color w:val="000000"/>
        </w:rPr>
        <w:t xml:space="preserve"> </w:t>
      </w:r>
      <w:r w:rsidR="00672C40" w:rsidRPr="00EE6125">
        <w:rPr>
          <w:bCs/>
          <w:color w:val="000000"/>
        </w:rPr>
        <w:t>72/09, 73/09, 74/09, 75/09 and 76/09</w:t>
      </w:r>
      <w:r w:rsidRPr="00EE6125">
        <w:rPr>
          <w:color w:val="000000"/>
        </w:rPr>
        <w:t>) w</w:t>
      </w:r>
      <w:r w:rsidR="00672C40" w:rsidRPr="00EE6125">
        <w:rPr>
          <w:color w:val="000000"/>
        </w:rPr>
        <w:t>ere</w:t>
      </w:r>
      <w:r w:rsidRPr="00EE6125">
        <w:rPr>
          <w:color w:val="000000"/>
        </w:rPr>
        <w:t xml:space="preserve"> introduced on </w:t>
      </w:r>
      <w:r w:rsidR="00672C40" w:rsidRPr="00EE6125">
        <w:rPr>
          <w:color w:val="000000"/>
        </w:rPr>
        <w:t>15</w:t>
      </w:r>
      <w:r w:rsidRPr="00EE6125">
        <w:rPr>
          <w:color w:val="000000"/>
        </w:rPr>
        <w:t xml:space="preserve"> April 2009</w:t>
      </w:r>
      <w:r w:rsidR="00672C40" w:rsidRPr="00EE6125">
        <w:rPr>
          <w:color w:val="000000"/>
        </w:rPr>
        <w:t xml:space="preserve"> and registered on 30 April 2009</w:t>
      </w:r>
      <w:r w:rsidRPr="00EE6125">
        <w:rPr>
          <w:color w:val="000000"/>
        </w:rPr>
        <w:t>.</w:t>
      </w:r>
    </w:p>
    <w:p w:rsidR="002A77CB" w:rsidRPr="00EE6125" w:rsidRDefault="002A77CB" w:rsidP="00E025EE">
      <w:pPr>
        <w:pStyle w:val="ColorfulList-Accent11"/>
        <w:tabs>
          <w:tab w:val="num" w:pos="360"/>
        </w:tabs>
        <w:suppressAutoHyphens w:val="0"/>
        <w:autoSpaceDE w:val="0"/>
        <w:autoSpaceDN w:val="0"/>
        <w:adjustRightInd w:val="0"/>
        <w:ind w:left="360" w:hanging="360"/>
        <w:jc w:val="both"/>
        <w:rPr>
          <w:color w:val="000000"/>
        </w:rPr>
      </w:pPr>
    </w:p>
    <w:p w:rsidR="00672C40" w:rsidRPr="00672C40" w:rsidRDefault="00672C40" w:rsidP="00E025EE">
      <w:pPr>
        <w:pStyle w:val="ColorfulList-Accent11"/>
        <w:numPr>
          <w:ilvl w:val="0"/>
          <w:numId w:val="2"/>
        </w:numPr>
        <w:tabs>
          <w:tab w:val="clear" w:pos="810"/>
          <w:tab w:val="num" w:pos="360"/>
        </w:tabs>
        <w:suppressAutoHyphens w:val="0"/>
        <w:autoSpaceDE w:val="0"/>
        <w:autoSpaceDN w:val="0"/>
        <w:adjustRightInd w:val="0"/>
        <w:ind w:left="360"/>
        <w:jc w:val="both"/>
        <w:rPr>
          <w:b/>
        </w:rPr>
      </w:pPr>
      <w:r w:rsidRPr="00B2000D">
        <w:t>On 24 July 2009, the complaint</w:t>
      </w:r>
      <w:r>
        <w:t>s</w:t>
      </w:r>
      <w:r w:rsidRPr="00B2000D">
        <w:t xml:space="preserve"> w</w:t>
      </w:r>
      <w:r>
        <w:t>ere</w:t>
      </w:r>
      <w:r w:rsidRPr="00B2000D">
        <w:t xml:space="preserve"> communicated to the Special Representative of the </w:t>
      </w:r>
      <w:r w:rsidRPr="00E025EE">
        <w:rPr>
          <w:color w:val="000000"/>
        </w:rPr>
        <w:t>Secretary</w:t>
      </w:r>
      <w:r w:rsidRPr="00B2000D">
        <w:t>-General (SRSG)</w:t>
      </w:r>
      <w:r w:rsidR="00837E96" w:rsidRPr="000D0C3A">
        <w:rPr>
          <w:vertAlign w:val="superscript"/>
          <w:lang w:val="en-GB" w:eastAsia="en-GB"/>
        </w:rPr>
        <w:footnoteReference w:id="1"/>
      </w:r>
      <w:r w:rsidRPr="00B2000D">
        <w:t>, for UNMIK’s comments on admissibility and merits.</w:t>
      </w:r>
      <w:r>
        <w:t xml:space="preserve"> </w:t>
      </w:r>
      <w:r w:rsidRPr="00B2000D">
        <w:t>In response</w:t>
      </w:r>
      <w:r>
        <w:t xml:space="preserve">, by </w:t>
      </w:r>
      <w:r w:rsidRPr="00B2000D">
        <w:t xml:space="preserve">letter dated </w:t>
      </w:r>
      <w:r>
        <w:t>5</w:t>
      </w:r>
      <w:r w:rsidRPr="00B2000D">
        <w:t xml:space="preserve"> August 2009, the SRSG advised the Panel </w:t>
      </w:r>
      <w:r>
        <w:t xml:space="preserve">that UNMIK could not provide comments because of </w:t>
      </w:r>
      <w:r w:rsidR="00694110">
        <w:t xml:space="preserve">the </w:t>
      </w:r>
      <w:r>
        <w:t>lack of facts presented by the complainant.</w:t>
      </w:r>
    </w:p>
    <w:p w:rsidR="00672C40" w:rsidRDefault="00672C40" w:rsidP="00E025EE">
      <w:pPr>
        <w:tabs>
          <w:tab w:val="num" w:pos="360"/>
        </w:tabs>
        <w:ind w:hanging="360"/>
        <w:jc w:val="both"/>
        <w:rPr>
          <w:b/>
        </w:rPr>
      </w:pPr>
    </w:p>
    <w:p w:rsidR="002A77CB" w:rsidRPr="00EE6125" w:rsidRDefault="002A77CB" w:rsidP="00E025EE">
      <w:pPr>
        <w:pStyle w:val="ColorfulList-Accent11"/>
        <w:numPr>
          <w:ilvl w:val="0"/>
          <w:numId w:val="2"/>
        </w:numPr>
        <w:tabs>
          <w:tab w:val="clear" w:pos="810"/>
          <w:tab w:val="num" w:pos="360"/>
        </w:tabs>
        <w:suppressAutoHyphens w:val="0"/>
        <w:autoSpaceDE w:val="0"/>
        <w:autoSpaceDN w:val="0"/>
        <w:adjustRightInd w:val="0"/>
        <w:ind w:left="360"/>
        <w:jc w:val="both"/>
        <w:rPr>
          <w:color w:val="000000"/>
        </w:rPr>
      </w:pPr>
      <w:r w:rsidRPr="00EE6125">
        <w:rPr>
          <w:color w:val="000000"/>
        </w:rPr>
        <w:t xml:space="preserve">On </w:t>
      </w:r>
      <w:r>
        <w:t>24 October 2009</w:t>
      </w:r>
      <w:r w:rsidRPr="00EE6125">
        <w:rPr>
          <w:color w:val="000000"/>
        </w:rPr>
        <w:t xml:space="preserve">, the Panel decided to join the </w:t>
      </w:r>
      <w:r w:rsidR="00EA15E9">
        <w:rPr>
          <w:color w:val="000000"/>
        </w:rPr>
        <w:t xml:space="preserve">five </w:t>
      </w:r>
      <w:r w:rsidRPr="00EE6125">
        <w:rPr>
          <w:color w:val="000000"/>
        </w:rPr>
        <w:t xml:space="preserve">complaints of </w:t>
      </w:r>
      <w:r>
        <w:t xml:space="preserve">Ms </w:t>
      </w:r>
      <w:proofErr w:type="spellStart"/>
      <w:r>
        <w:t>Nikolić</w:t>
      </w:r>
      <w:proofErr w:type="spellEnd"/>
      <w:r>
        <w:t xml:space="preserve"> </w:t>
      </w:r>
      <w:r w:rsidRPr="00EE6125">
        <w:rPr>
          <w:color w:val="000000"/>
        </w:rPr>
        <w:t xml:space="preserve">(cases </w:t>
      </w:r>
      <w:proofErr w:type="spellStart"/>
      <w:r w:rsidRPr="00EE6125">
        <w:rPr>
          <w:color w:val="000000"/>
        </w:rPr>
        <w:t>nos</w:t>
      </w:r>
      <w:proofErr w:type="spellEnd"/>
      <w:r w:rsidRPr="00EE6125">
        <w:rPr>
          <w:color w:val="000000"/>
        </w:rPr>
        <w:t xml:space="preserve"> </w:t>
      </w:r>
      <w:r w:rsidRPr="00EE6125">
        <w:rPr>
          <w:bCs/>
          <w:color w:val="000000"/>
        </w:rPr>
        <w:t>72/09, 73/09, 74/09, 75/09 and 76/09</w:t>
      </w:r>
      <w:r w:rsidRPr="00EE6125">
        <w:rPr>
          <w:color w:val="000000"/>
        </w:rPr>
        <w:t>), pursuant to Rule 20 of the Panel’s Rules of Procedure.</w:t>
      </w:r>
    </w:p>
    <w:p w:rsidR="002A77CB" w:rsidRDefault="002A77CB" w:rsidP="00E025EE">
      <w:pPr>
        <w:tabs>
          <w:tab w:val="num" w:pos="360"/>
        </w:tabs>
        <w:ind w:hanging="360"/>
        <w:jc w:val="both"/>
        <w:rPr>
          <w:b/>
        </w:rPr>
      </w:pPr>
    </w:p>
    <w:p w:rsidR="00672C40" w:rsidRPr="00B2000D" w:rsidRDefault="00672C40" w:rsidP="00E025EE">
      <w:pPr>
        <w:pStyle w:val="ColorfulList-Accent11"/>
        <w:numPr>
          <w:ilvl w:val="0"/>
          <w:numId w:val="2"/>
        </w:numPr>
        <w:tabs>
          <w:tab w:val="clear" w:pos="810"/>
          <w:tab w:val="num" w:pos="360"/>
        </w:tabs>
        <w:suppressAutoHyphens w:val="0"/>
        <w:autoSpaceDE w:val="0"/>
        <w:autoSpaceDN w:val="0"/>
        <w:adjustRightInd w:val="0"/>
        <w:ind w:left="360"/>
        <w:jc w:val="both"/>
      </w:pPr>
      <w:r w:rsidRPr="00B2000D">
        <w:t xml:space="preserve">On </w:t>
      </w:r>
      <w:r w:rsidRPr="00E025EE">
        <w:rPr>
          <w:bCs/>
          <w:color w:val="000000"/>
        </w:rPr>
        <w:t>21</w:t>
      </w:r>
      <w:r>
        <w:t xml:space="preserve"> April 2010,</w:t>
      </w:r>
      <w:r w:rsidRPr="00B2000D">
        <w:t xml:space="preserve"> the Panel requested the complainant to provide additional information.</w:t>
      </w:r>
      <w:r>
        <w:t xml:space="preserve"> The complainant has not responded to these requests.</w:t>
      </w:r>
    </w:p>
    <w:p w:rsidR="00672C40" w:rsidRDefault="00672C40" w:rsidP="00E025EE">
      <w:pPr>
        <w:pStyle w:val="ColorfulList-Accent11"/>
        <w:tabs>
          <w:tab w:val="num" w:pos="360"/>
        </w:tabs>
        <w:ind w:hanging="360"/>
      </w:pPr>
    </w:p>
    <w:p w:rsidR="002A77CB" w:rsidRPr="002A77CB" w:rsidRDefault="00672C40" w:rsidP="00E025EE">
      <w:pPr>
        <w:pStyle w:val="ColorfulList-Accent11"/>
        <w:numPr>
          <w:ilvl w:val="0"/>
          <w:numId w:val="2"/>
        </w:numPr>
        <w:tabs>
          <w:tab w:val="clear" w:pos="810"/>
          <w:tab w:val="num" w:pos="360"/>
        </w:tabs>
        <w:suppressAutoHyphens w:val="0"/>
        <w:autoSpaceDE w:val="0"/>
        <w:autoSpaceDN w:val="0"/>
        <w:adjustRightInd w:val="0"/>
        <w:ind w:left="360"/>
        <w:jc w:val="both"/>
        <w:rPr>
          <w:b/>
        </w:rPr>
      </w:pPr>
      <w:r w:rsidRPr="000D7372">
        <w:t xml:space="preserve">On </w:t>
      </w:r>
      <w:r>
        <w:t xml:space="preserve">4 May </w:t>
      </w:r>
      <w:r w:rsidRPr="000D7372">
        <w:t>20</w:t>
      </w:r>
      <w:r>
        <w:t>12,</w:t>
      </w:r>
      <w:r w:rsidRPr="000D7372">
        <w:t xml:space="preserve"> </w:t>
      </w:r>
      <w:r>
        <w:t>the complaints</w:t>
      </w:r>
      <w:r w:rsidR="00443E41" w:rsidRPr="00EE6125">
        <w:rPr>
          <w:color w:val="000000"/>
        </w:rPr>
        <w:t xml:space="preserve"> of </w:t>
      </w:r>
      <w:r w:rsidR="00443E41">
        <w:t xml:space="preserve">Ms </w:t>
      </w:r>
      <w:proofErr w:type="spellStart"/>
      <w:r w:rsidR="00443E41">
        <w:t>Nikolić</w:t>
      </w:r>
      <w:proofErr w:type="spellEnd"/>
      <w:r w:rsidR="00443E41">
        <w:t xml:space="preserve"> </w:t>
      </w:r>
      <w:r w:rsidR="00443E41" w:rsidRPr="00EE6125">
        <w:rPr>
          <w:color w:val="000000"/>
        </w:rPr>
        <w:t xml:space="preserve">(cases </w:t>
      </w:r>
      <w:proofErr w:type="spellStart"/>
      <w:r w:rsidR="00443E41" w:rsidRPr="00EE6125">
        <w:rPr>
          <w:color w:val="000000"/>
        </w:rPr>
        <w:t>nos</w:t>
      </w:r>
      <w:proofErr w:type="spellEnd"/>
      <w:r w:rsidR="00443E41" w:rsidRPr="00EE6125">
        <w:rPr>
          <w:color w:val="000000"/>
        </w:rPr>
        <w:t xml:space="preserve"> </w:t>
      </w:r>
      <w:r w:rsidR="00443E41" w:rsidRPr="00EE6125">
        <w:rPr>
          <w:bCs/>
          <w:color w:val="000000"/>
        </w:rPr>
        <w:t>72/09, 73/09, 74/09, 75/09 and 76/09</w:t>
      </w:r>
      <w:r w:rsidR="00443E41" w:rsidRPr="00EE6125">
        <w:rPr>
          <w:color w:val="000000"/>
        </w:rPr>
        <w:t>)</w:t>
      </w:r>
      <w:r>
        <w:t xml:space="preserve"> </w:t>
      </w:r>
      <w:r w:rsidRPr="000D7372">
        <w:t>w</w:t>
      </w:r>
      <w:r>
        <w:t>ere</w:t>
      </w:r>
      <w:r w:rsidRPr="000D7372">
        <w:t xml:space="preserve"> </w:t>
      </w:r>
      <w:r>
        <w:t>re-</w:t>
      </w:r>
      <w:r w:rsidRPr="000D7372">
        <w:t xml:space="preserve">communicated to </w:t>
      </w:r>
      <w:r>
        <w:t xml:space="preserve">the </w:t>
      </w:r>
      <w:r w:rsidRPr="000D7372">
        <w:t>SRSG, for</w:t>
      </w:r>
      <w:r>
        <w:t xml:space="preserve"> UNMIK’s</w:t>
      </w:r>
      <w:r w:rsidRPr="000D7372">
        <w:t xml:space="preserve"> comments on admissibility</w:t>
      </w:r>
      <w:r>
        <w:t>.</w:t>
      </w:r>
    </w:p>
    <w:p w:rsidR="002A77CB" w:rsidRDefault="002A77CB" w:rsidP="00E025EE">
      <w:pPr>
        <w:pStyle w:val="ColorfulList-Accent11"/>
        <w:tabs>
          <w:tab w:val="num" w:pos="360"/>
        </w:tabs>
        <w:ind w:hanging="360"/>
      </w:pPr>
    </w:p>
    <w:p w:rsidR="00672C40" w:rsidRPr="002A77CB" w:rsidRDefault="00443E41" w:rsidP="00E025EE">
      <w:pPr>
        <w:numPr>
          <w:ilvl w:val="0"/>
          <w:numId w:val="2"/>
        </w:numPr>
        <w:tabs>
          <w:tab w:val="clear" w:pos="810"/>
          <w:tab w:val="num" w:pos="360"/>
        </w:tabs>
        <w:ind w:left="360"/>
        <w:jc w:val="both"/>
        <w:rPr>
          <w:b/>
        </w:rPr>
      </w:pPr>
      <w:r>
        <w:t>On 13 June 2012, t</w:t>
      </w:r>
      <w:r w:rsidR="00672C40">
        <w:t>he SRSG provided UNMIK’s response.</w:t>
      </w:r>
    </w:p>
    <w:p w:rsidR="002A77CB" w:rsidRDefault="002A77CB" w:rsidP="00E025EE">
      <w:pPr>
        <w:pStyle w:val="ColorfulList-Accent11"/>
        <w:tabs>
          <w:tab w:val="num" w:pos="360"/>
        </w:tabs>
        <w:ind w:left="360" w:hanging="360"/>
        <w:rPr>
          <w:b/>
        </w:rPr>
      </w:pPr>
    </w:p>
    <w:p w:rsidR="00672C40" w:rsidRPr="002A77CB" w:rsidRDefault="002A77CB" w:rsidP="00E025EE">
      <w:pPr>
        <w:numPr>
          <w:ilvl w:val="0"/>
          <w:numId w:val="2"/>
        </w:numPr>
        <w:tabs>
          <w:tab w:val="clear" w:pos="810"/>
          <w:tab w:val="num" w:pos="360"/>
        </w:tabs>
        <w:ind w:left="360"/>
        <w:jc w:val="both"/>
        <w:rPr>
          <w:b/>
        </w:rPr>
      </w:pPr>
      <w:r w:rsidRPr="00EE6125">
        <w:rPr>
          <w:color w:val="000000"/>
          <w:lang w:val="en-GB"/>
        </w:rPr>
        <w:t xml:space="preserve">On 21 June 2012, </w:t>
      </w:r>
      <w:r w:rsidRPr="002A77CB">
        <w:rPr>
          <w:bCs/>
        </w:rPr>
        <w:t xml:space="preserve">the Panel declared the complaints of </w:t>
      </w:r>
      <w:r w:rsidRPr="00EE6125">
        <w:rPr>
          <w:color w:val="000000"/>
        </w:rPr>
        <w:t xml:space="preserve">Ms </w:t>
      </w:r>
      <w:proofErr w:type="spellStart"/>
      <w:r w:rsidRPr="00EE6125">
        <w:rPr>
          <w:color w:val="000000"/>
        </w:rPr>
        <w:t>Nikolić</w:t>
      </w:r>
      <w:proofErr w:type="spellEnd"/>
      <w:r w:rsidRPr="00EE6125">
        <w:rPr>
          <w:color w:val="000000"/>
        </w:rPr>
        <w:t xml:space="preserve"> (cases </w:t>
      </w:r>
      <w:proofErr w:type="spellStart"/>
      <w:r w:rsidRPr="00EE6125">
        <w:rPr>
          <w:color w:val="000000"/>
        </w:rPr>
        <w:t>nos</w:t>
      </w:r>
      <w:proofErr w:type="spellEnd"/>
      <w:r w:rsidRPr="00EE6125">
        <w:rPr>
          <w:color w:val="000000"/>
        </w:rPr>
        <w:t xml:space="preserve"> </w:t>
      </w:r>
      <w:r w:rsidRPr="00EE6125">
        <w:rPr>
          <w:bCs/>
          <w:color w:val="000000"/>
        </w:rPr>
        <w:t>72/09, 73/09, 74/09, 75/09 and 76/09</w:t>
      </w:r>
      <w:r w:rsidRPr="00EE6125">
        <w:rPr>
          <w:color w:val="000000"/>
        </w:rPr>
        <w:t xml:space="preserve">) </w:t>
      </w:r>
      <w:r w:rsidRPr="000D0C3A">
        <w:t>admissible.</w:t>
      </w:r>
    </w:p>
    <w:p w:rsidR="002A77CB" w:rsidRDefault="002A77CB" w:rsidP="00E025EE">
      <w:pPr>
        <w:pStyle w:val="ColorfulList-Accent11"/>
        <w:tabs>
          <w:tab w:val="num" w:pos="360"/>
        </w:tabs>
        <w:ind w:left="360" w:hanging="360"/>
        <w:rPr>
          <w:b/>
        </w:rPr>
      </w:pPr>
    </w:p>
    <w:p w:rsidR="002A77CB" w:rsidRPr="002A77CB" w:rsidRDefault="002A77CB" w:rsidP="00E025EE">
      <w:pPr>
        <w:numPr>
          <w:ilvl w:val="0"/>
          <w:numId w:val="2"/>
        </w:numPr>
        <w:tabs>
          <w:tab w:val="clear" w:pos="810"/>
          <w:tab w:val="num" w:pos="360"/>
        </w:tabs>
        <w:ind w:left="360"/>
        <w:jc w:val="both"/>
      </w:pPr>
      <w:r w:rsidRPr="002A77CB">
        <w:t xml:space="preserve">On 22 June 2012, </w:t>
      </w:r>
      <w:r w:rsidRPr="002A77CB">
        <w:rPr>
          <w:lang w:val="en-GB"/>
        </w:rPr>
        <w:t xml:space="preserve">the Panel forwarded its decision on admissibility of the complaints of </w:t>
      </w:r>
      <w:r w:rsidRPr="00EE6125">
        <w:rPr>
          <w:color w:val="000000"/>
        </w:rPr>
        <w:t xml:space="preserve">Ms </w:t>
      </w:r>
      <w:proofErr w:type="spellStart"/>
      <w:r w:rsidRPr="00EE6125">
        <w:rPr>
          <w:color w:val="000000"/>
        </w:rPr>
        <w:t>Nikolić</w:t>
      </w:r>
      <w:proofErr w:type="spellEnd"/>
      <w:r w:rsidRPr="00EE6125">
        <w:rPr>
          <w:color w:val="000000"/>
        </w:rPr>
        <w:t xml:space="preserve"> (cases </w:t>
      </w:r>
      <w:proofErr w:type="spellStart"/>
      <w:r w:rsidRPr="00EE6125">
        <w:rPr>
          <w:color w:val="000000"/>
        </w:rPr>
        <w:t>nos</w:t>
      </w:r>
      <w:proofErr w:type="spellEnd"/>
      <w:r w:rsidRPr="00EE6125">
        <w:rPr>
          <w:color w:val="000000"/>
        </w:rPr>
        <w:t xml:space="preserve"> </w:t>
      </w:r>
      <w:r w:rsidRPr="00EE6125">
        <w:rPr>
          <w:bCs/>
          <w:color w:val="000000"/>
        </w:rPr>
        <w:t>72/09, 73/09, 74/09, 75/09 and 76/09</w:t>
      </w:r>
      <w:r w:rsidRPr="00EE6125">
        <w:rPr>
          <w:color w:val="000000"/>
        </w:rPr>
        <w:t xml:space="preserve">) </w:t>
      </w:r>
      <w:r w:rsidRPr="002A77CB">
        <w:rPr>
          <w:lang w:val="en-GB"/>
        </w:rPr>
        <w:t xml:space="preserve">to the SRSG requesting UNMIK’s comments on the merits of the </w:t>
      </w:r>
      <w:r w:rsidR="00694110">
        <w:rPr>
          <w:lang w:val="en-GB"/>
        </w:rPr>
        <w:t>case</w:t>
      </w:r>
      <w:r w:rsidR="00170B3E">
        <w:rPr>
          <w:lang w:val="en-GB"/>
        </w:rPr>
        <w:t>s</w:t>
      </w:r>
      <w:r w:rsidRPr="002A77CB">
        <w:rPr>
          <w:lang w:val="en-GB"/>
        </w:rPr>
        <w:t>, as well as copies of the investigative files relevant to the case.</w:t>
      </w:r>
    </w:p>
    <w:p w:rsidR="002A77CB" w:rsidRDefault="002A77CB" w:rsidP="00E025EE">
      <w:pPr>
        <w:pStyle w:val="ColorfulList-Accent11"/>
        <w:tabs>
          <w:tab w:val="num" w:pos="360"/>
        </w:tabs>
        <w:ind w:left="360" w:hanging="360"/>
      </w:pPr>
    </w:p>
    <w:p w:rsidR="002A77CB" w:rsidRPr="00694110" w:rsidRDefault="002A77CB" w:rsidP="00E025EE">
      <w:pPr>
        <w:numPr>
          <w:ilvl w:val="0"/>
          <w:numId w:val="2"/>
        </w:numPr>
        <w:tabs>
          <w:tab w:val="clear" w:pos="810"/>
          <w:tab w:val="num" w:pos="360"/>
        </w:tabs>
        <w:ind w:left="360"/>
        <w:jc w:val="both"/>
        <w:rPr>
          <w:color w:val="000000"/>
        </w:rPr>
      </w:pPr>
      <w:r w:rsidRPr="00694110">
        <w:rPr>
          <w:color w:val="000000"/>
        </w:rPr>
        <w:t>On 30 May 2014, the SRSG provided UNMIK’s response</w:t>
      </w:r>
      <w:r w:rsidR="00443E41" w:rsidRPr="00694110">
        <w:rPr>
          <w:color w:val="000000"/>
        </w:rPr>
        <w:t>, together with the copies of the available relevant investigative documents.</w:t>
      </w:r>
    </w:p>
    <w:p w:rsidR="00CF7FBE" w:rsidRPr="00694110" w:rsidRDefault="00CF7FBE" w:rsidP="00E025EE">
      <w:pPr>
        <w:pStyle w:val="ColorfulList-Accent11"/>
        <w:tabs>
          <w:tab w:val="num" w:pos="360"/>
        </w:tabs>
        <w:ind w:left="360" w:hanging="360"/>
        <w:rPr>
          <w:color w:val="000000"/>
        </w:rPr>
      </w:pPr>
    </w:p>
    <w:p w:rsidR="00CF7FBE" w:rsidRPr="00694110" w:rsidRDefault="00CF7FBE" w:rsidP="00E025EE">
      <w:pPr>
        <w:pStyle w:val="Default"/>
        <w:numPr>
          <w:ilvl w:val="0"/>
          <w:numId w:val="2"/>
        </w:numPr>
        <w:tabs>
          <w:tab w:val="clear" w:pos="810"/>
          <w:tab w:val="num" w:pos="360"/>
        </w:tabs>
        <w:ind w:left="360"/>
        <w:jc w:val="both"/>
        <w:rPr>
          <w:color w:val="auto"/>
          <w:lang w:val="en-GB"/>
        </w:rPr>
      </w:pPr>
      <w:r w:rsidRPr="00694110">
        <w:rPr>
          <w:lang w:val="en-GB"/>
        </w:rPr>
        <w:t>On 19 November 2014,</w:t>
      </w:r>
      <w:r w:rsidRPr="00694110">
        <w:rPr>
          <w:color w:val="auto"/>
          <w:lang w:val="en-GB"/>
        </w:rPr>
        <w:t xml:space="preserve"> upon a request of the Panel’s Secretariat, the </w:t>
      </w:r>
      <w:r w:rsidR="00A8429D" w:rsidRPr="00694110">
        <w:rPr>
          <w:lang w:val="en-GB"/>
        </w:rPr>
        <w:t>European Union Rule of Law Mission in Kosovo (EULEX)</w:t>
      </w:r>
      <w:r w:rsidR="00694110" w:rsidRPr="00694110">
        <w:rPr>
          <w:lang w:val="en-GB"/>
        </w:rPr>
        <w:t xml:space="preserve"> </w:t>
      </w:r>
      <w:r w:rsidRPr="00694110">
        <w:rPr>
          <w:color w:val="auto"/>
          <w:lang w:val="en-GB"/>
        </w:rPr>
        <w:t>Department of Forensic Medicine submitted a clarification to the Panel.</w:t>
      </w:r>
    </w:p>
    <w:p w:rsidR="002A77CB" w:rsidRDefault="002A77CB" w:rsidP="00672C40">
      <w:pPr>
        <w:jc w:val="both"/>
        <w:rPr>
          <w:b/>
        </w:rPr>
      </w:pPr>
    </w:p>
    <w:p w:rsidR="002A77CB" w:rsidRPr="00EE6125" w:rsidRDefault="002A77CB" w:rsidP="002A77CB">
      <w:pPr>
        <w:autoSpaceDE w:val="0"/>
        <w:jc w:val="both"/>
        <w:rPr>
          <w:bCs/>
          <w:i/>
          <w:color w:val="000000"/>
        </w:rPr>
      </w:pPr>
      <w:r w:rsidRPr="00EE6125">
        <w:rPr>
          <w:i/>
          <w:color w:val="000000"/>
        </w:rPr>
        <w:t xml:space="preserve">Complaints of Ms </w:t>
      </w:r>
      <w:proofErr w:type="spellStart"/>
      <w:r w:rsidRPr="00EE6125">
        <w:rPr>
          <w:i/>
          <w:color w:val="000000"/>
        </w:rPr>
        <w:t>Rosanda</w:t>
      </w:r>
      <w:proofErr w:type="spellEnd"/>
      <w:r w:rsidRPr="00EE6125">
        <w:rPr>
          <w:i/>
          <w:color w:val="000000"/>
        </w:rPr>
        <w:t xml:space="preserve"> </w:t>
      </w:r>
      <w:proofErr w:type="spellStart"/>
      <w:r w:rsidRPr="00EE6125">
        <w:rPr>
          <w:i/>
          <w:color w:val="000000"/>
        </w:rPr>
        <w:t>Kabaš</w:t>
      </w:r>
      <w:proofErr w:type="spellEnd"/>
      <w:r w:rsidRPr="00EE6125">
        <w:rPr>
          <w:i/>
          <w:color w:val="000000"/>
        </w:rPr>
        <w:t xml:space="preserve"> (case no. </w:t>
      </w:r>
      <w:r w:rsidRPr="00EE6125">
        <w:rPr>
          <w:bCs/>
          <w:i/>
          <w:color w:val="000000"/>
        </w:rPr>
        <w:t>78/09)</w:t>
      </w:r>
    </w:p>
    <w:p w:rsidR="002A77CB" w:rsidRPr="00EE6125" w:rsidRDefault="002A77CB" w:rsidP="002A77CB">
      <w:pPr>
        <w:autoSpaceDE w:val="0"/>
        <w:jc w:val="both"/>
        <w:rPr>
          <w:bCs/>
          <w:i/>
          <w:color w:val="000000"/>
        </w:rPr>
      </w:pPr>
    </w:p>
    <w:p w:rsidR="002A77CB" w:rsidRPr="00EE6125" w:rsidRDefault="002A77CB" w:rsidP="00E025EE">
      <w:pPr>
        <w:pStyle w:val="ColorfulList-Accent11"/>
        <w:numPr>
          <w:ilvl w:val="0"/>
          <w:numId w:val="2"/>
        </w:numPr>
        <w:tabs>
          <w:tab w:val="clear" w:pos="810"/>
          <w:tab w:val="num" w:pos="360"/>
        </w:tabs>
        <w:suppressAutoHyphens w:val="0"/>
        <w:autoSpaceDE w:val="0"/>
        <w:autoSpaceDN w:val="0"/>
        <w:adjustRightInd w:val="0"/>
        <w:ind w:left="360"/>
        <w:jc w:val="both"/>
        <w:rPr>
          <w:color w:val="000000"/>
        </w:rPr>
      </w:pPr>
      <w:r w:rsidRPr="00EE6125">
        <w:rPr>
          <w:color w:val="000000"/>
        </w:rPr>
        <w:t xml:space="preserve">The complaint of Ms </w:t>
      </w:r>
      <w:proofErr w:type="spellStart"/>
      <w:r w:rsidRPr="00EE6125">
        <w:rPr>
          <w:color w:val="000000"/>
        </w:rPr>
        <w:t>Rosanda</w:t>
      </w:r>
      <w:proofErr w:type="spellEnd"/>
      <w:r w:rsidRPr="00EE6125">
        <w:rPr>
          <w:color w:val="000000"/>
        </w:rPr>
        <w:t xml:space="preserve"> </w:t>
      </w:r>
      <w:proofErr w:type="spellStart"/>
      <w:r w:rsidRPr="00EE6125">
        <w:rPr>
          <w:color w:val="000000"/>
        </w:rPr>
        <w:t>Kabaš</w:t>
      </w:r>
      <w:proofErr w:type="spellEnd"/>
      <w:r w:rsidRPr="00EE6125">
        <w:rPr>
          <w:color w:val="000000"/>
        </w:rPr>
        <w:t xml:space="preserve"> (case no. </w:t>
      </w:r>
      <w:r w:rsidRPr="00EE6125">
        <w:rPr>
          <w:bCs/>
          <w:color w:val="000000"/>
        </w:rPr>
        <w:t>78/09</w:t>
      </w:r>
      <w:r w:rsidRPr="00EE6125">
        <w:rPr>
          <w:color w:val="000000"/>
        </w:rPr>
        <w:t xml:space="preserve">) was introduced on </w:t>
      </w:r>
      <w:r>
        <w:t xml:space="preserve">15 April </w:t>
      </w:r>
      <w:r w:rsidRPr="00065414">
        <w:t>200</w:t>
      </w:r>
      <w:r>
        <w:t xml:space="preserve">9 </w:t>
      </w:r>
      <w:r w:rsidRPr="00EE6125">
        <w:rPr>
          <w:color w:val="000000"/>
        </w:rPr>
        <w:t>and registered on 30 April 2009.</w:t>
      </w:r>
    </w:p>
    <w:p w:rsidR="002A77CB" w:rsidRPr="00EE6125" w:rsidRDefault="002A77CB" w:rsidP="00E025EE">
      <w:pPr>
        <w:pStyle w:val="ColorfulList-Accent11"/>
        <w:tabs>
          <w:tab w:val="num" w:pos="360"/>
        </w:tabs>
        <w:suppressAutoHyphens w:val="0"/>
        <w:autoSpaceDE w:val="0"/>
        <w:autoSpaceDN w:val="0"/>
        <w:adjustRightInd w:val="0"/>
        <w:ind w:left="360"/>
        <w:jc w:val="both"/>
        <w:rPr>
          <w:color w:val="000000"/>
        </w:rPr>
      </w:pPr>
    </w:p>
    <w:p w:rsidR="00E025EE" w:rsidRPr="00E025EE" w:rsidRDefault="00E025EE" w:rsidP="00E025EE">
      <w:pPr>
        <w:ind w:left="360"/>
        <w:jc w:val="both"/>
        <w:rPr>
          <w:b/>
        </w:rPr>
      </w:pPr>
    </w:p>
    <w:p w:rsidR="00E025EE" w:rsidRDefault="00E025EE" w:rsidP="00E025EE">
      <w:pPr>
        <w:pStyle w:val="ListParagraph"/>
      </w:pPr>
    </w:p>
    <w:p w:rsidR="002A77CB" w:rsidRPr="00672C40" w:rsidRDefault="002A77CB" w:rsidP="00E025EE">
      <w:pPr>
        <w:numPr>
          <w:ilvl w:val="0"/>
          <w:numId w:val="2"/>
        </w:numPr>
        <w:tabs>
          <w:tab w:val="clear" w:pos="810"/>
          <w:tab w:val="num" w:pos="360"/>
        </w:tabs>
        <w:ind w:left="360"/>
        <w:jc w:val="both"/>
        <w:rPr>
          <w:b/>
        </w:rPr>
      </w:pPr>
      <w:r w:rsidRPr="00B2000D">
        <w:t>On 24 July 2009, the complaint w</w:t>
      </w:r>
      <w:r w:rsidR="008D192B">
        <w:t>as</w:t>
      </w:r>
      <w:r w:rsidRPr="00B2000D">
        <w:t xml:space="preserve"> communicated to the Special Representative of the Secretary-General (SRSG), for UNMIK’s comments on admissibility and merits.</w:t>
      </w:r>
      <w:r>
        <w:t xml:space="preserve"> </w:t>
      </w:r>
      <w:r w:rsidRPr="00B2000D">
        <w:t>In response</w:t>
      </w:r>
      <w:r>
        <w:t xml:space="preserve">, by </w:t>
      </w:r>
      <w:r w:rsidRPr="00B2000D">
        <w:t xml:space="preserve">letter dated </w:t>
      </w:r>
      <w:r w:rsidR="008D192B">
        <w:t>3</w:t>
      </w:r>
      <w:r w:rsidRPr="00B2000D">
        <w:t xml:space="preserve"> August 2009, the SRSG advised the Panel </w:t>
      </w:r>
      <w:r>
        <w:t xml:space="preserve">that UNMIK could not provide comments because of </w:t>
      </w:r>
      <w:r w:rsidR="00694110">
        <w:t xml:space="preserve">the </w:t>
      </w:r>
      <w:r>
        <w:t>lack of facts presented by the complainant.</w:t>
      </w:r>
    </w:p>
    <w:p w:rsidR="002A77CB" w:rsidRDefault="002A77CB" w:rsidP="00E025EE">
      <w:pPr>
        <w:tabs>
          <w:tab w:val="num" w:pos="360"/>
        </w:tabs>
        <w:ind w:left="360"/>
        <w:jc w:val="both"/>
        <w:rPr>
          <w:b/>
        </w:rPr>
      </w:pPr>
    </w:p>
    <w:p w:rsidR="008D192B" w:rsidRPr="00B370C6" w:rsidRDefault="008D192B" w:rsidP="00E025EE">
      <w:pPr>
        <w:numPr>
          <w:ilvl w:val="0"/>
          <w:numId w:val="2"/>
        </w:numPr>
        <w:tabs>
          <w:tab w:val="clear" w:pos="810"/>
          <w:tab w:val="num" w:pos="360"/>
        </w:tabs>
        <w:ind w:left="360"/>
        <w:jc w:val="both"/>
      </w:pPr>
      <w:r w:rsidRPr="00B370C6">
        <w:t>On 9 December 2009, the Panel requested the complainant to provide additional information. On 20 April 2011 the Panel repeated its request. The complainant has not responded to these requests.</w:t>
      </w:r>
    </w:p>
    <w:p w:rsidR="008D192B" w:rsidRPr="00B370C6" w:rsidRDefault="008D192B" w:rsidP="00E025EE">
      <w:pPr>
        <w:pStyle w:val="ColorfulList-Accent11"/>
        <w:tabs>
          <w:tab w:val="num" w:pos="360"/>
        </w:tabs>
        <w:ind w:left="360"/>
      </w:pPr>
    </w:p>
    <w:p w:rsidR="00837E96" w:rsidRPr="00B370C6" w:rsidRDefault="00837E96" w:rsidP="00E025EE">
      <w:pPr>
        <w:pStyle w:val="Default"/>
        <w:numPr>
          <w:ilvl w:val="0"/>
          <w:numId w:val="2"/>
        </w:numPr>
        <w:tabs>
          <w:tab w:val="clear" w:pos="810"/>
          <w:tab w:val="num" w:pos="360"/>
        </w:tabs>
        <w:ind w:left="360"/>
        <w:jc w:val="both"/>
        <w:rPr>
          <w:lang w:val="en-GB"/>
        </w:rPr>
      </w:pPr>
      <w:bookmarkStart w:id="1" w:name="_Ref373318637"/>
      <w:r w:rsidRPr="00B370C6">
        <w:rPr>
          <w:lang w:val="en-GB"/>
        </w:rPr>
        <w:t xml:space="preserve">On 18 December 2009, the Panel requested from </w:t>
      </w:r>
      <w:r w:rsidR="00A8429D">
        <w:rPr>
          <w:lang w:val="en-GB"/>
        </w:rPr>
        <w:t xml:space="preserve">EULEX </w:t>
      </w:r>
      <w:r w:rsidRPr="00B370C6">
        <w:rPr>
          <w:lang w:val="en-GB"/>
        </w:rPr>
        <w:t xml:space="preserve">the </w:t>
      </w:r>
      <w:r w:rsidRPr="00B370C6">
        <w:rPr>
          <w:lang w:val="en-GB" w:eastAsia="en-GB"/>
        </w:rPr>
        <w:t>information with regard to forty three complaints in relation to missing persons filed before the Panel, including the complaint of Ms</w:t>
      </w:r>
      <w:r w:rsidRPr="00B370C6">
        <w:rPr>
          <w:bCs/>
          <w:lang w:val="en-GB"/>
        </w:rPr>
        <w:t xml:space="preserve"> </w:t>
      </w:r>
      <w:proofErr w:type="spellStart"/>
      <w:r w:rsidRPr="00B370C6">
        <w:t>Kabaš</w:t>
      </w:r>
      <w:proofErr w:type="spellEnd"/>
      <w:r w:rsidRPr="00B370C6">
        <w:rPr>
          <w:bCs/>
          <w:lang w:val="en-GB"/>
        </w:rPr>
        <w:t>.</w:t>
      </w:r>
      <w:bookmarkEnd w:id="1"/>
    </w:p>
    <w:p w:rsidR="00837E96" w:rsidRPr="00B370C6" w:rsidRDefault="00837E96" w:rsidP="00E025EE">
      <w:pPr>
        <w:pStyle w:val="ColorfulList-Accent11"/>
        <w:tabs>
          <w:tab w:val="num" w:pos="360"/>
        </w:tabs>
        <w:ind w:left="360"/>
        <w:rPr>
          <w:color w:val="000000"/>
          <w:lang w:val="en-GB"/>
        </w:rPr>
      </w:pPr>
    </w:p>
    <w:p w:rsidR="00837E96" w:rsidRPr="00B370C6" w:rsidRDefault="00837E96" w:rsidP="00E025EE">
      <w:pPr>
        <w:pStyle w:val="Default"/>
        <w:numPr>
          <w:ilvl w:val="0"/>
          <w:numId w:val="2"/>
        </w:numPr>
        <w:tabs>
          <w:tab w:val="clear" w:pos="810"/>
          <w:tab w:val="num" w:pos="360"/>
        </w:tabs>
        <w:ind w:left="360"/>
        <w:jc w:val="both"/>
        <w:rPr>
          <w:lang w:val="en-GB"/>
        </w:rPr>
      </w:pPr>
      <w:r w:rsidRPr="00B370C6">
        <w:rPr>
          <w:lang w:val="en-GB"/>
        </w:rPr>
        <w:t>On 23 March 2010, EULEX provided a response to the Panel’s request of 18 December 2009.</w:t>
      </w:r>
    </w:p>
    <w:p w:rsidR="00405253" w:rsidRPr="00B370C6" w:rsidRDefault="00405253" w:rsidP="00E025EE">
      <w:pPr>
        <w:pStyle w:val="ColorfulList-Accent11"/>
        <w:tabs>
          <w:tab w:val="num" w:pos="360"/>
        </w:tabs>
        <w:ind w:left="360"/>
        <w:rPr>
          <w:color w:val="000000"/>
          <w:lang w:val="en-GB"/>
        </w:rPr>
      </w:pPr>
    </w:p>
    <w:p w:rsidR="00405253" w:rsidRPr="00B370C6" w:rsidRDefault="00405253" w:rsidP="00E025EE">
      <w:pPr>
        <w:pStyle w:val="Default"/>
        <w:numPr>
          <w:ilvl w:val="0"/>
          <w:numId w:val="2"/>
        </w:numPr>
        <w:tabs>
          <w:tab w:val="clear" w:pos="810"/>
          <w:tab w:val="num" w:pos="360"/>
        </w:tabs>
        <w:ind w:left="360"/>
        <w:jc w:val="both"/>
        <w:rPr>
          <w:lang w:val="en-GB"/>
        </w:rPr>
      </w:pPr>
      <w:r w:rsidRPr="00B370C6">
        <w:rPr>
          <w:lang w:val="en-GB"/>
        </w:rPr>
        <w:t xml:space="preserve">On 3 October 2011, Ms </w:t>
      </w:r>
      <w:proofErr w:type="spellStart"/>
      <w:r w:rsidRPr="00B370C6">
        <w:rPr>
          <w:lang w:val="en-GB"/>
        </w:rPr>
        <w:t>Kabaš</w:t>
      </w:r>
      <w:proofErr w:type="spellEnd"/>
      <w:r w:rsidRPr="00B370C6">
        <w:rPr>
          <w:lang w:val="en-GB"/>
        </w:rPr>
        <w:t xml:space="preserve"> submitted additional information to the Panel.</w:t>
      </w:r>
    </w:p>
    <w:p w:rsidR="005B0D56" w:rsidRPr="00B370C6" w:rsidRDefault="005B0D56" w:rsidP="00E025EE">
      <w:pPr>
        <w:pStyle w:val="ColorfulList-Accent11"/>
        <w:tabs>
          <w:tab w:val="num" w:pos="360"/>
        </w:tabs>
        <w:ind w:left="360"/>
        <w:rPr>
          <w:color w:val="000000"/>
          <w:lang w:val="en-GB"/>
        </w:rPr>
      </w:pPr>
    </w:p>
    <w:p w:rsidR="005B0D56" w:rsidRPr="00B370C6" w:rsidRDefault="005B0D56" w:rsidP="00E025EE">
      <w:pPr>
        <w:pStyle w:val="Default"/>
        <w:numPr>
          <w:ilvl w:val="0"/>
          <w:numId w:val="2"/>
        </w:numPr>
        <w:tabs>
          <w:tab w:val="clear" w:pos="810"/>
          <w:tab w:val="num" w:pos="360"/>
        </w:tabs>
        <w:ind w:left="360"/>
        <w:jc w:val="both"/>
        <w:rPr>
          <w:lang w:val="en-GB"/>
        </w:rPr>
      </w:pPr>
      <w:bookmarkStart w:id="2" w:name="_Ref404776902"/>
      <w:r w:rsidRPr="00B370C6">
        <w:rPr>
          <w:lang w:val="en-GB"/>
        </w:rPr>
        <w:t>Upon the Panel’s request, on 8 February 2012, UNMIK Police submitted additional information</w:t>
      </w:r>
      <w:r w:rsidR="00C13F03" w:rsidRPr="00B370C6">
        <w:rPr>
          <w:lang w:val="en-GB"/>
        </w:rPr>
        <w:t xml:space="preserve"> related to the complaint of Ms </w:t>
      </w:r>
      <w:proofErr w:type="spellStart"/>
      <w:r w:rsidR="00C13F03" w:rsidRPr="00B370C6">
        <w:rPr>
          <w:lang w:val="en-GB"/>
        </w:rPr>
        <w:t>Kabaš</w:t>
      </w:r>
      <w:proofErr w:type="spellEnd"/>
      <w:r w:rsidR="00C13F03" w:rsidRPr="00B370C6">
        <w:rPr>
          <w:lang w:val="en-GB"/>
        </w:rPr>
        <w:t>.</w:t>
      </w:r>
      <w:bookmarkEnd w:id="2"/>
    </w:p>
    <w:p w:rsidR="00837E96" w:rsidRPr="00B370C6" w:rsidRDefault="00837E96" w:rsidP="00E025EE">
      <w:pPr>
        <w:pStyle w:val="ColorfulList-Accent11"/>
        <w:tabs>
          <w:tab w:val="num" w:pos="360"/>
        </w:tabs>
        <w:ind w:left="360"/>
      </w:pPr>
    </w:p>
    <w:p w:rsidR="008D192B" w:rsidRPr="00B370C6" w:rsidRDefault="008D192B" w:rsidP="00E025EE">
      <w:pPr>
        <w:numPr>
          <w:ilvl w:val="0"/>
          <w:numId w:val="2"/>
        </w:numPr>
        <w:tabs>
          <w:tab w:val="clear" w:pos="810"/>
          <w:tab w:val="num" w:pos="360"/>
        </w:tabs>
        <w:ind w:left="360"/>
        <w:jc w:val="both"/>
        <w:rPr>
          <w:b/>
        </w:rPr>
      </w:pPr>
      <w:r w:rsidRPr="00B370C6">
        <w:t>On 24 February 2012, the complaint was re-communicated to the SRSG, for UNMIK’s comments on admissibility.</w:t>
      </w:r>
    </w:p>
    <w:p w:rsidR="008D192B" w:rsidRDefault="008D192B" w:rsidP="00E025EE">
      <w:pPr>
        <w:pStyle w:val="ColorfulList-Accent11"/>
        <w:tabs>
          <w:tab w:val="num" w:pos="360"/>
        </w:tabs>
        <w:ind w:left="360"/>
      </w:pPr>
    </w:p>
    <w:p w:rsidR="008D192B" w:rsidRPr="000D7372" w:rsidRDefault="008D192B" w:rsidP="00E025EE">
      <w:pPr>
        <w:numPr>
          <w:ilvl w:val="0"/>
          <w:numId w:val="2"/>
        </w:numPr>
        <w:tabs>
          <w:tab w:val="clear" w:pos="810"/>
          <w:tab w:val="num" w:pos="360"/>
        </w:tabs>
        <w:ind w:left="360"/>
        <w:jc w:val="both"/>
        <w:rPr>
          <w:b/>
        </w:rPr>
      </w:pPr>
      <w:r>
        <w:t>O</w:t>
      </w:r>
      <w:r w:rsidRPr="009E48EC">
        <w:t xml:space="preserve">n </w:t>
      </w:r>
      <w:r>
        <w:t>28 March 2012,</w:t>
      </w:r>
      <w:r w:rsidRPr="009E48EC">
        <w:t xml:space="preserve"> the </w:t>
      </w:r>
      <w:r>
        <w:t>SRSG provided UNMIK’s response with regard to the admissibility of the complaint.</w:t>
      </w:r>
    </w:p>
    <w:p w:rsidR="002A77CB" w:rsidRDefault="002A77CB" w:rsidP="00E025EE">
      <w:pPr>
        <w:pStyle w:val="ColorfulList-Accent11"/>
        <w:tabs>
          <w:tab w:val="num" w:pos="360"/>
        </w:tabs>
        <w:ind w:left="360"/>
        <w:rPr>
          <w:b/>
        </w:rPr>
      </w:pPr>
    </w:p>
    <w:p w:rsidR="002A77CB" w:rsidRPr="002A77CB" w:rsidRDefault="002A77CB" w:rsidP="00E025EE">
      <w:pPr>
        <w:numPr>
          <w:ilvl w:val="0"/>
          <w:numId w:val="2"/>
        </w:numPr>
        <w:tabs>
          <w:tab w:val="clear" w:pos="810"/>
          <w:tab w:val="num" w:pos="360"/>
        </w:tabs>
        <w:ind w:left="360"/>
        <w:jc w:val="both"/>
        <w:rPr>
          <w:b/>
        </w:rPr>
      </w:pPr>
      <w:r w:rsidRPr="00EE6125">
        <w:rPr>
          <w:color w:val="000000"/>
          <w:lang w:val="en-GB"/>
        </w:rPr>
        <w:t xml:space="preserve">On </w:t>
      </w:r>
      <w:r w:rsidR="008D192B" w:rsidRPr="008D192B">
        <w:rPr>
          <w:bCs/>
          <w:color w:val="000000"/>
        </w:rPr>
        <w:t>11 May 2012</w:t>
      </w:r>
      <w:r w:rsidRPr="00EE6125">
        <w:rPr>
          <w:color w:val="000000"/>
          <w:lang w:val="en-GB"/>
        </w:rPr>
        <w:t xml:space="preserve">, </w:t>
      </w:r>
      <w:r w:rsidRPr="002A77CB">
        <w:rPr>
          <w:bCs/>
        </w:rPr>
        <w:t xml:space="preserve">the Panel declared the complaint of </w:t>
      </w:r>
      <w:r w:rsidRPr="00EE6125">
        <w:rPr>
          <w:color w:val="000000"/>
        </w:rPr>
        <w:t xml:space="preserve">Ms </w:t>
      </w:r>
      <w:proofErr w:type="spellStart"/>
      <w:r w:rsidR="008D192B" w:rsidRPr="00EE6125">
        <w:rPr>
          <w:color w:val="000000"/>
        </w:rPr>
        <w:t>Kabaš</w:t>
      </w:r>
      <w:proofErr w:type="spellEnd"/>
      <w:r w:rsidR="008D192B" w:rsidRPr="00EE6125">
        <w:rPr>
          <w:color w:val="000000"/>
        </w:rPr>
        <w:t xml:space="preserve"> </w:t>
      </w:r>
      <w:r w:rsidRPr="00EE6125">
        <w:rPr>
          <w:color w:val="000000"/>
        </w:rPr>
        <w:t>(case no</w:t>
      </w:r>
      <w:r w:rsidR="008D192B" w:rsidRPr="00EE6125">
        <w:rPr>
          <w:color w:val="000000"/>
        </w:rPr>
        <w:t>.</w:t>
      </w:r>
      <w:r w:rsidRPr="00EE6125">
        <w:rPr>
          <w:color w:val="000000"/>
        </w:rPr>
        <w:t xml:space="preserve"> </w:t>
      </w:r>
      <w:r w:rsidRPr="00EE6125">
        <w:rPr>
          <w:bCs/>
          <w:color w:val="000000"/>
        </w:rPr>
        <w:t>7</w:t>
      </w:r>
      <w:r w:rsidR="008D192B" w:rsidRPr="00EE6125">
        <w:rPr>
          <w:bCs/>
          <w:color w:val="000000"/>
        </w:rPr>
        <w:t>8</w:t>
      </w:r>
      <w:r w:rsidRPr="00EE6125">
        <w:rPr>
          <w:bCs/>
          <w:color w:val="000000"/>
        </w:rPr>
        <w:t>/09</w:t>
      </w:r>
      <w:r w:rsidRPr="00EE6125">
        <w:rPr>
          <w:color w:val="000000"/>
        </w:rPr>
        <w:t xml:space="preserve">) </w:t>
      </w:r>
      <w:r w:rsidRPr="000D0C3A">
        <w:t>admissible.</w:t>
      </w:r>
    </w:p>
    <w:p w:rsidR="002A77CB" w:rsidRDefault="002A77CB" w:rsidP="00E025EE">
      <w:pPr>
        <w:pStyle w:val="ColorfulList-Accent11"/>
        <w:tabs>
          <w:tab w:val="num" w:pos="360"/>
        </w:tabs>
        <w:ind w:left="360"/>
        <w:rPr>
          <w:b/>
        </w:rPr>
      </w:pPr>
    </w:p>
    <w:p w:rsidR="002A77CB" w:rsidRPr="00443E41" w:rsidRDefault="002A77CB" w:rsidP="00E025EE">
      <w:pPr>
        <w:numPr>
          <w:ilvl w:val="0"/>
          <w:numId w:val="2"/>
        </w:numPr>
        <w:tabs>
          <w:tab w:val="clear" w:pos="810"/>
          <w:tab w:val="num" w:pos="360"/>
        </w:tabs>
        <w:ind w:left="360"/>
        <w:jc w:val="both"/>
      </w:pPr>
      <w:r w:rsidRPr="002A77CB">
        <w:t xml:space="preserve">On </w:t>
      </w:r>
      <w:r w:rsidR="008D192B">
        <w:t>17 May</w:t>
      </w:r>
      <w:r w:rsidRPr="002A77CB">
        <w:t xml:space="preserve"> 2012, </w:t>
      </w:r>
      <w:r w:rsidRPr="002A77CB">
        <w:rPr>
          <w:lang w:val="en-GB"/>
        </w:rPr>
        <w:t xml:space="preserve">the Panel forwarded its decision on admissibility of </w:t>
      </w:r>
      <w:r w:rsidR="00694110">
        <w:rPr>
          <w:lang w:val="en-GB"/>
        </w:rPr>
        <w:t xml:space="preserve">the </w:t>
      </w:r>
      <w:r w:rsidR="008D192B" w:rsidRPr="002A77CB">
        <w:rPr>
          <w:bCs/>
        </w:rPr>
        <w:t xml:space="preserve">complaint of </w:t>
      </w:r>
      <w:r w:rsidR="008D192B" w:rsidRPr="00EE6125">
        <w:rPr>
          <w:color w:val="000000"/>
        </w:rPr>
        <w:t xml:space="preserve">Ms </w:t>
      </w:r>
      <w:proofErr w:type="spellStart"/>
      <w:r w:rsidR="008D192B" w:rsidRPr="00EE6125">
        <w:rPr>
          <w:color w:val="000000"/>
        </w:rPr>
        <w:t>Kabaš</w:t>
      </w:r>
      <w:proofErr w:type="spellEnd"/>
      <w:r w:rsidR="008D192B" w:rsidRPr="00EE6125">
        <w:rPr>
          <w:color w:val="000000"/>
        </w:rPr>
        <w:t xml:space="preserve"> (case no. </w:t>
      </w:r>
      <w:r w:rsidR="008D192B" w:rsidRPr="00EE6125">
        <w:rPr>
          <w:bCs/>
          <w:color w:val="000000"/>
        </w:rPr>
        <w:t>78/09</w:t>
      </w:r>
      <w:r w:rsidR="008D192B" w:rsidRPr="00EE6125">
        <w:rPr>
          <w:color w:val="000000"/>
        </w:rPr>
        <w:t>)</w:t>
      </w:r>
      <w:r w:rsidRPr="00EE6125">
        <w:rPr>
          <w:color w:val="000000"/>
        </w:rPr>
        <w:t xml:space="preserve"> </w:t>
      </w:r>
      <w:r w:rsidRPr="002A77CB">
        <w:rPr>
          <w:lang w:val="en-GB"/>
        </w:rPr>
        <w:t>to the SRSG</w:t>
      </w:r>
      <w:r w:rsidR="006C55F8">
        <w:rPr>
          <w:lang w:val="en-GB"/>
        </w:rPr>
        <w:t>,</w:t>
      </w:r>
      <w:r w:rsidRPr="002A77CB">
        <w:rPr>
          <w:lang w:val="en-GB"/>
        </w:rPr>
        <w:t xml:space="preserve"> requesting UNMIK’s comments on the merits of the complaint, as well as copies of the investigative files relevant to the case.</w:t>
      </w:r>
    </w:p>
    <w:p w:rsidR="002A77CB" w:rsidRDefault="002A77CB" w:rsidP="00E025EE">
      <w:pPr>
        <w:pStyle w:val="ColorfulList-Accent11"/>
        <w:tabs>
          <w:tab w:val="num" w:pos="360"/>
        </w:tabs>
        <w:ind w:left="360"/>
      </w:pPr>
    </w:p>
    <w:p w:rsidR="008D192B" w:rsidRPr="002A77CB" w:rsidRDefault="008D192B" w:rsidP="00E025EE">
      <w:pPr>
        <w:numPr>
          <w:ilvl w:val="0"/>
          <w:numId w:val="2"/>
        </w:numPr>
        <w:tabs>
          <w:tab w:val="clear" w:pos="810"/>
          <w:tab w:val="num" w:pos="360"/>
        </w:tabs>
        <w:ind w:left="360"/>
        <w:jc w:val="both"/>
      </w:pPr>
      <w:r w:rsidRPr="00EE6125">
        <w:rPr>
          <w:color w:val="000000"/>
        </w:rPr>
        <w:t>On 27 March 2013</w:t>
      </w:r>
      <w:r w:rsidR="002A77CB" w:rsidRPr="00EE6125">
        <w:rPr>
          <w:color w:val="000000"/>
        </w:rPr>
        <w:t>, the SRSG provided UNMIK’s response</w:t>
      </w:r>
      <w:r w:rsidRPr="00EE6125">
        <w:rPr>
          <w:color w:val="000000"/>
        </w:rPr>
        <w:t>, together with the copies of the available relevant investigative documents.</w:t>
      </w:r>
    </w:p>
    <w:p w:rsidR="002A77CB" w:rsidRPr="008D192B" w:rsidRDefault="002A77CB" w:rsidP="002A77CB">
      <w:pPr>
        <w:autoSpaceDE w:val="0"/>
        <w:jc w:val="both"/>
        <w:rPr>
          <w:bCs/>
          <w:lang w:val="en-GB"/>
        </w:rPr>
      </w:pPr>
    </w:p>
    <w:p w:rsidR="002A77CB" w:rsidRPr="00EE6125" w:rsidRDefault="002A77CB" w:rsidP="002A77CB">
      <w:pPr>
        <w:autoSpaceDE w:val="0"/>
        <w:jc w:val="both"/>
        <w:rPr>
          <w:i/>
          <w:color w:val="000000"/>
        </w:rPr>
      </w:pPr>
      <w:r w:rsidRPr="00EE6125">
        <w:rPr>
          <w:i/>
          <w:color w:val="000000"/>
        </w:rPr>
        <w:t xml:space="preserve">Complaints of Mr Milan </w:t>
      </w:r>
      <w:proofErr w:type="spellStart"/>
      <w:r w:rsidRPr="00EE6125">
        <w:rPr>
          <w:i/>
          <w:color w:val="000000"/>
        </w:rPr>
        <w:t>Petrović</w:t>
      </w:r>
      <w:proofErr w:type="spellEnd"/>
      <w:r w:rsidRPr="00EE6125">
        <w:rPr>
          <w:i/>
          <w:color w:val="000000"/>
        </w:rPr>
        <w:t xml:space="preserve"> (cases </w:t>
      </w:r>
      <w:proofErr w:type="spellStart"/>
      <w:r w:rsidRPr="00EE6125">
        <w:rPr>
          <w:i/>
          <w:color w:val="000000"/>
        </w:rPr>
        <w:t>nos</w:t>
      </w:r>
      <w:proofErr w:type="spellEnd"/>
      <w:r w:rsidRPr="00EE6125">
        <w:rPr>
          <w:i/>
          <w:color w:val="000000"/>
        </w:rPr>
        <w:t xml:space="preserve"> 95/09 and 96/09)</w:t>
      </w:r>
    </w:p>
    <w:p w:rsidR="002A77CB" w:rsidRPr="00EE6125" w:rsidRDefault="002A77CB" w:rsidP="002A77CB">
      <w:pPr>
        <w:autoSpaceDE w:val="0"/>
        <w:jc w:val="both"/>
        <w:rPr>
          <w:bCs/>
          <w:color w:val="000000"/>
        </w:rPr>
      </w:pPr>
    </w:p>
    <w:p w:rsidR="00443E41" w:rsidRPr="00443E41" w:rsidRDefault="002A77CB" w:rsidP="00E025EE">
      <w:pPr>
        <w:numPr>
          <w:ilvl w:val="0"/>
          <w:numId w:val="2"/>
        </w:numPr>
        <w:tabs>
          <w:tab w:val="clear" w:pos="810"/>
          <w:tab w:val="num" w:pos="360"/>
        </w:tabs>
        <w:ind w:left="360"/>
        <w:jc w:val="both"/>
        <w:rPr>
          <w:lang w:val="en-GB"/>
        </w:rPr>
      </w:pPr>
      <w:r w:rsidRPr="00EE6125">
        <w:rPr>
          <w:color w:val="000000"/>
        </w:rPr>
        <w:t>The complaints</w:t>
      </w:r>
      <w:r w:rsidR="00EA15E9">
        <w:rPr>
          <w:color w:val="000000"/>
        </w:rPr>
        <w:t xml:space="preserve"> </w:t>
      </w:r>
      <w:r w:rsidRPr="00EE6125">
        <w:rPr>
          <w:color w:val="000000"/>
        </w:rPr>
        <w:t xml:space="preserve">of Mr Milan </w:t>
      </w:r>
      <w:proofErr w:type="spellStart"/>
      <w:r w:rsidRPr="00EE6125">
        <w:rPr>
          <w:color w:val="000000"/>
        </w:rPr>
        <w:t>Petrović</w:t>
      </w:r>
      <w:proofErr w:type="spellEnd"/>
      <w:r w:rsidRPr="00EE6125">
        <w:rPr>
          <w:color w:val="000000"/>
        </w:rPr>
        <w:t xml:space="preserve"> (cases </w:t>
      </w:r>
      <w:proofErr w:type="spellStart"/>
      <w:r w:rsidRPr="00EE6125">
        <w:rPr>
          <w:color w:val="000000"/>
        </w:rPr>
        <w:t>nos</w:t>
      </w:r>
      <w:proofErr w:type="spellEnd"/>
      <w:r w:rsidRPr="00EE6125">
        <w:rPr>
          <w:color w:val="000000"/>
        </w:rPr>
        <w:t xml:space="preserve"> 95/09 and 96/09) were introduced on </w:t>
      </w:r>
      <w:r w:rsidR="00443E41" w:rsidRPr="00EE6125">
        <w:rPr>
          <w:color w:val="000000"/>
        </w:rPr>
        <w:t xml:space="preserve">8 April </w:t>
      </w:r>
      <w:r w:rsidRPr="00065414">
        <w:t>200</w:t>
      </w:r>
      <w:r>
        <w:t xml:space="preserve">9 </w:t>
      </w:r>
      <w:r w:rsidRPr="00EE6125">
        <w:rPr>
          <w:color w:val="000000"/>
        </w:rPr>
        <w:t>and registered on 30 April 2009.</w:t>
      </w:r>
    </w:p>
    <w:p w:rsidR="00443E41" w:rsidRPr="00443E41" w:rsidRDefault="00443E41" w:rsidP="00E025EE">
      <w:pPr>
        <w:pStyle w:val="ColorfulList-Accent11"/>
        <w:tabs>
          <w:tab w:val="num" w:pos="360"/>
        </w:tabs>
        <w:suppressAutoHyphens w:val="0"/>
        <w:autoSpaceDE w:val="0"/>
        <w:autoSpaceDN w:val="0"/>
        <w:adjustRightInd w:val="0"/>
        <w:ind w:left="360"/>
        <w:jc w:val="both"/>
        <w:rPr>
          <w:lang w:val="en-GB"/>
        </w:rPr>
      </w:pPr>
    </w:p>
    <w:p w:rsidR="00443E41" w:rsidRPr="00443E41" w:rsidRDefault="00443E41" w:rsidP="00E025EE">
      <w:pPr>
        <w:numPr>
          <w:ilvl w:val="0"/>
          <w:numId w:val="2"/>
        </w:numPr>
        <w:tabs>
          <w:tab w:val="clear" w:pos="810"/>
          <w:tab w:val="num" w:pos="360"/>
        </w:tabs>
        <w:ind w:left="360"/>
        <w:jc w:val="both"/>
        <w:rPr>
          <w:lang w:val="en-GB"/>
        </w:rPr>
      </w:pPr>
      <w:r w:rsidRPr="00443E41">
        <w:rPr>
          <w:lang w:val="en-GB"/>
        </w:rPr>
        <w:t xml:space="preserve">On 24 October 2009, the Panel decided to join the </w:t>
      </w:r>
      <w:r>
        <w:rPr>
          <w:lang w:val="en-GB"/>
        </w:rPr>
        <w:t xml:space="preserve">two complaints of </w:t>
      </w:r>
      <w:r w:rsidRPr="00EE6125">
        <w:rPr>
          <w:color w:val="000000"/>
        </w:rPr>
        <w:t xml:space="preserve">Mr Milan </w:t>
      </w:r>
      <w:proofErr w:type="spellStart"/>
      <w:r w:rsidRPr="00EE6125">
        <w:rPr>
          <w:color w:val="000000"/>
        </w:rPr>
        <w:t>Petrović</w:t>
      </w:r>
      <w:proofErr w:type="spellEnd"/>
      <w:r w:rsidRPr="00EE6125">
        <w:rPr>
          <w:color w:val="000000"/>
        </w:rPr>
        <w:t xml:space="preserve"> </w:t>
      </w:r>
      <w:r w:rsidRPr="00443E41">
        <w:rPr>
          <w:lang w:val="en-GB"/>
        </w:rPr>
        <w:t>pursuant to Rule 20 of the Panel’s Rules of Procedure.</w:t>
      </w:r>
    </w:p>
    <w:p w:rsidR="00443E41" w:rsidRPr="00EE6125" w:rsidRDefault="00443E41" w:rsidP="00E025EE">
      <w:pPr>
        <w:pStyle w:val="ColorfulList-Accent11"/>
        <w:tabs>
          <w:tab w:val="num" w:pos="360"/>
        </w:tabs>
        <w:suppressAutoHyphens w:val="0"/>
        <w:autoSpaceDE w:val="0"/>
        <w:autoSpaceDN w:val="0"/>
        <w:adjustRightInd w:val="0"/>
        <w:ind w:left="360"/>
        <w:jc w:val="both"/>
        <w:rPr>
          <w:color w:val="000000"/>
        </w:rPr>
      </w:pPr>
    </w:p>
    <w:p w:rsidR="00D54450" w:rsidRPr="00EE6125" w:rsidRDefault="00D54450" w:rsidP="00E025EE">
      <w:pPr>
        <w:numPr>
          <w:ilvl w:val="0"/>
          <w:numId w:val="2"/>
        </w:numPr>
        <w:tabs>
          <w:tab w:val="clear" w:pos="810"/>
          <w:tab w:val="num" w:pos="360"/>
        </w:tabs>
        <w:ind w:left="360"/>
        <w:jc w:val="both"/>
        <w:rPr>
          <w:color w:val="000000"/>
        </w:rPr>
      </w:pPr>
      <w:r w:rsidRPr="00EE6125">
        <w:rPr>
          <w:color w:val="000000"/>
        </w:rPr>
        <w:lastRenderedPageBreak/>
        <w:t xml:space="preserve">On </w:t>
      </w:r>
      <w:r w:rsidR="00443E41" w:rsidRPr="00EE6125">
        <w:rPr>
          <w:color w:val="000000"/>
        </w:rPr>
        <w:t>10 March 2</w:t>
      </w:r>
      <w:r w:rsidRPr="00EE6125">
        <w:rPr>
          <w:color w:val="000000"/>
        </w:rPr>
        <w:t>0</w:t>
      </w:r>
      <w:r w:rsidR="00BF709B">
        <w:rPr>
          <w:color w:val="000000"/>
        </w:rPr>
        <w:t>10</w:t>
      </w:r>
      <w:r w:rsidRPr="00EE6125">
        <w:rPr>
          <w:color w:val="000000"/>
        </w:rPr>
        <w:t xml:space="preserve">, the Panel requested further information from </w:t>
      </w:r>
      <w:r w:rsidR="00443E41" w:rsidRPr="00EE6125">
        <w:rPr>
          <w:color w:val="000000"/>
        </w:rPr>
        <w:t xml:space="preserve">Mr Milan </w:t>
      </w:r>
      <w:proofErr w:type="spellStart"/>
      <w:r w:rsidR="00443E41" w:rsidRPr="00EE6125">
        <w:rPr>
          <w:color w:val="000000"/>
        </w:rPr>
        <w:t>Petrović</w:t>
      </w:r>
      <w:proofErr w:type="spellEnd"/>
      <w:r w:rsidR="00443E41" w:rsidRPr="00EE6125">
        <w:rPr>
          <w:color w:val="000000"/>
        </w:rPr>
        <w:t>.</w:t>
      </w:r>
    </w:p>
    <w:p w:rsidR="00443E41" w:rsidRPr="00EE6125" w:rsidRDefault="00443E41" w:rsidP="00E025EE">
      <w:pPr>
        <w:pStyle w:val="ColorfulList-Accent11"/>
        <w:tabs>
          <w:tab w:val="num" w:pos="360"/>
        </w:tabs>
        <w:ind w:left="360"/>
        <w:rPr>
          <w:color w:val="000000"/>
        </w:rPr>
      </w:pPr>
    </w:p>
    <w:p w:rsidR="00D54450" w:rsidRPr="00EE6125" w:rsidRDefault="00443E41" w:rsidP="00E025EE">
      <w:pPr>
        <w:numPr>
          <w:ilvl w:val="0"/>
          <w:numId w:val="2"/>
        </w:numPr>
        <w:tabs>
          <w:tab w:val="clear" w:pos="810"/>
          <w:tab w:val="num" w:pos="360"/>
        </w:tabs>
        <w:ind w:left="360"/>
        <w:jc w:val="both"/>
        <w:rPr>
          <w:color w:val="000000"/>
        </w:rPr>
      </w:pPr>
      <w:r w:rsidRPr="00EE6125">
        <w:rPr>
          <w:color w:val="000000"/>
        </w:rPr>
        <w:t xml:space="preserve">On 22 March 2010, Mr Milan </w:t>
      </w:r>
      <w:proofErr w:type="spellStart"/>
      <w:r w:rsidRPr="00EE6125">
        <w:rPr>
          <w:color w:val="000000"/>
        </w:rPr>
        <w:t>Petrović</w:t>
      </w:r>
      <w:proofErr w:type="spellEnd"/>
      <w:r w:rsidRPr="00EE6125">
        <w:rPr>
          <w:color w:val="000000"/>
        </w:rPr>
        <w:t xml:space="preserve"> responded to the Panel’s request.</w:t>
      </w:r>
    </w:p>
    <w:p w:rsidR="00443E41" w:rsidRPr="00EE6125" w:rsidRDefault="00443E41" w:rsidP="00E025EE">
      <w:pPr>
        <w:pStyle w:val="ColorfulList-Accent11"/>
        <w:tabs>
          <w:tab w:val="num" w:pos="360"/>
        </w:tabs>
        <w:ind w:left="360"/>
        <w:rPr>
          <w:color w:val="000000"/>
        </w:rPr>
      </w:pPr>
    </w:p>
    <w:p w:rsidR="00C05D15" w:rsidRPr="00EE6125" w:rsidRDefault="00C05D15" w:rsidP="00E025EE">
      <w:pPr>
        <w:numPr>
          <w:ilvl w:val="0"/>
          <w:numId w:val="2"/>
        </w:numPr>
        <w:tabs>
          <w:tab w:val="clear" w:pos="810"/>
          <w:tab w:val="num" w:pos="360"/>
        </w:tabs>
        <w:ind w:left="360"/>
        <w:jc w:val="both"/>
        <w:rPr>
          <w:b/>
          <w:color w:val="000000"/>
        </w:rPr>
      </w:pPr>
      <w:r w:rsidRPr="00EE6125">
        <w:rPr>
          <w:color w:val="000000"/>
        </w:rPr>
        <w:t xml:space="preserve">On </w:t>
      </w:r>
      <w:r w:rsidR="00837E96" w:rsidRPr="00EE6125">
        <w:rPr>
          <w:color w:val="000000"/>
        </w:rPr>
        <w:t>16 June 2011</w:t>
      </w:r>
      <w:r w:rsidRPr="00EE6125">
        <w:rPr>
          <w:color w:val="000000"/>
        </w:rPr>
        <w:t>, the complaint</w:t>
      </w:r>
      <w:r w:rsidR="00837E96" w:rsidRPr="00EE6125">
        <w:rPr>
          <w:color w:val="000000"/>
        </w:rPr>
        <w:t>s</w:t>
      </w:r>
      <w:r w:rsidRPr="00EE6125">
        <w:rPr>
          <w:color w:val="000000"/>
        </w:rPr>
        <w:t xml:space="preserve"> of </w:t>
      </w:r>
      <w:r w:rsidR="00837E96" w:rsidRPr="00EE6125">
        <w:rPr>
          <w:color w:val="000000"/>
        </w:rPr>
        <w:t xml:space="preserve">Mr Milan </w:t>
      </w:r>
      <w:proofErr w:type="spellStart"/>
      <w:r w:rsidR="00837E96" w:rsidRPr="00EE6125">
        <w:rPr>
          <w:color w:val="000000"/>
        </w:rPr>
        <w:t>Petrović</w:t>
      </w:r>
      <w:proofErr w:type="spellEnd"/>
      <w:r w:rsidR="00837E96" w:rsidRPr="00EE6125">
        <w:rPr>
          <w:color w:val="000000"/>
        </w:rPr>
        <w:t xml:space="preserve"> (cases </w:t>
      </w:r>
      <w:proofErr w:type="spellStart"/>
      <w:r w:rsidR="00837E96" w:rsidRPr="00EE6125">
        <w:rPr>
          <w:color w:val="000000"/>
        </w:rPr>
        <w:t>nos</w:t>
      </w:r>
      <w:proofErr w:type="spellEnd"/>
      <w:r w:rsidR="00837E96" w:rsidRPr="00EE6125">
        <w:rPr>
          <w:color w:val="000000"/>
        </w:rPr>
        <w:t xml:space="preserve"> 95/09 and 96/09)</w:t>
      </w:r>
      <w:r w:rsidRPr="00EE6125">
        <w:rPr>
          <w:color w:val="000000"/>
        </w:rPr>
        <w:t xml:space="preserve"> w</w:t>
      </w:r>
      <w:r w:rsidR="00837E96" w:rsidRPr="00EE6125">
        <w:rPr>
          <w:color w:val="000000"/>
        </w:rPr>
        <w:t>ere</w:t>
      </w:r>
      <w:r w:rsidRPr="00EE6125">
        <w:rPr>
          <w:color w:val="000000"/>
        </w:rPr>
        <w:t xml:space="preserve"> communicated to the SRSG, for UNMIK’s comments on</w:t>
      </w:r>
      <w:r w:rsidR="00D54450" w:rsidRPr="00EE6125">
        <w:rPr>
          <w:color w:val="000000"/>
        </w:rPr>
        <w:t xml:space="preserve"> its</w:t>
      </w:r>
      <w:r w:rsidRPr="00EE6125">
        <w:rPr>
          <w:color w:val="000000"/>
        </w:rPr>
        <w:t xml:space="preserve"> admissibility.</w:t>
      </w:r>
    </w:p>
    <w:p w:rsidR="00C05D15" w:rsidRPr="00EE6125" w:rsidRDefault="00C05D15" w:rsidP="00E025EE">
      <w:pPr>
        <w:pStyle w:val="ColorfulList-Accent11"/>
        <w:tabs>
          <w:tab w:val="num" w:pos="360"/>
        </w:tabs>
        <w:ind w:left="360"/>
        <w:rPr>
          <w:color w:val="000000"/>
        </w:rPr>
      </w:pPr>
    </w:p>
    <w:p w:rsidR="00C05D15" w:rsidRPr="00EE6125" w:rsidRDefault="00C05D15" w:rsidP="00E025EE">
      <w:pPr>
        <w:numPr>
          <w:ilvl w:val="0"/>
          <w:numId w:val="2"/>
        </w:numPr>
        <w:tabs>
          <w:tab w:val="clear" w:pos="810"/>
          <w:tab w:val="num" w:pos="360"/>
        </w:tabs>
        <w:ind w:left="360"/>
        <w:jc w:val="both"/>
        <w:rPr>
          <w:b/>
          <w:color w:val="000000"/>
        </w:rPr>
      </w:pPr>
      <w:r w:rsidRPr="00EE6125">
        <w:rPr>
          <w:color w:val="000000"/>
        </w:rPr>
        <w:t xml:space="preserve">On </w:t>
      </w:r>
      <w:r w:rsidR="00837E96" w:rsidRPr="00EE6125">
        <w:rPr>
          <w:color w:val="000000"/>
        </w:rPr>
        <w:t xml:space="preserve">2 September 2011, </w:t>
      </w:r>
      <w:r w:rsidRPr="00EE6125">
        <w:rPr>
          <w:color w:val="000000"/>
        </w:rPr>
        <w:t>the SRSG presented UNMIK’s response.</w:t>
      </w:r>
    </w:p>
    <w:p w:rsidR="00D54450" w:rsidRPr="00EE6125" w:rsidRDefault="00D54450" w:rsidP="00E025EE">
      <w:pPr>
        <w:pStyle w:val="ColorfulList-Accent11"/>
        <w:tabs>
          <w:tab w:val="num" w:pos="360"/>
        </w:tabs>
        <w:ind w:left="360"/>
        <w:rPr>
          <w:color w:val="000000"/>
        </w:rPr>
      </w:pPr>
    </w:p>
    <w:p w:rsidR="00C05D15" w:rsidRPr="00EE6125" w:rsidRDefault="00C05D15" w:rsidP="00E025EE">
      <w:pPr>
        <w:numPr>
          <w:ilvl w:val="0"/>
          <w:numId w:val="2"/>
        </w:numPr>
        <w:tabs>
          <w:tab w:val="clear" w:pos="810"/>
          <w:tab w:val="num" w:pos="360"/>
        </w:tabs>
        <w:ind w:left="360"/>
        <w:jc w:val="both"/>
        <w:rPr>
          <w:color w:val="000000"/>
          <w:lang w:val="en-GB"/>
        </w:rPr>
      </w:pPr>
      <w:r w:rsidRPr="00EE6125">
        <w:rPr>
          <w:color w:val="000000"/>
          <w:lang w:val="en-GB"/>
        </w:rPr>
        <w:t xml:space="preserve">On </w:t>
      </w:r>
      <w:r w:rsidR="00837E96" w:rsidRPr="00837E96">
        <w:rPr>
          <w:bCs/>
        </w:rPr>
        <w:t>27 October</w:t>
      </w:r>
      <w:r w:rsidRPr="00837E96">
        <w:rPr>
          <w:bCs/>
        </w:rPr>
        <w:t xml:space="preserve"> 201</w:t>
      </w:r>
      <w:r w:rsidR="00837E96" w:rsidRPr="00837E96">
        <w:rPr>
          <w:bCs/>
        </w:rPr>
        <w:t>1</w:t>
      </w:r>
      <w:r w:rsidRPr="00837E96">
        <w:rPr>
          <w:bCs/>
        </w:rPr>
        <w:t>, the Panel decla</w:t>
      </w:r>
      <w:r w:rsidR="00837E96">
        <w:rPr>
          <w:bCs/>
        </w:rPr>
        <w:t>red the complaint</w:t>
      </w:r>
      <w:r w:rsidR="00837E96" w:rsidRPr="00EE6125">
        <w:rPr>
          <w:color w:val="000000"/>
        </w:rPr>
        <w:t xml:space="preserve">s of Mr Milan </w:t>
      </w:r>
      <w:proofErr w:type="spellStart"/>
      <w:r w:rsidR="00837E96" w:rsidRPr="00EE6125">
        <w:rPr>
          <w:color w:val="000000"/>
        </w:rPr>
        <w:t>Petrović</w:t>
      </w:r>
      <w:proofErr w:type="spellEnd"/>
      <w:r w:rsidR="00837E96" w:rsidRPr="00EE6125">
        <w:rPr>
          <w:color w:val="000000"/>
        </w:rPr>
        <w:t xml:space="preserve"> (cases </w:t>
      </w:r>
      <w:proofErr w:type="spellStart"/>
      <w:r w:rsidR="00837E96" w:rsidRPr="00EE6125">
        <w:rPr>
          <w:color w:val="000000"/>
        </w:rPr>
        <w:t>nos</w:t>
      </w:r>
      <w:proofErr w:type="spellEnd"/>
      <w:r w:rsidR="00837E96" w:rsidRPr="00EE6125">
        <w:rPr>
          <w:color w:val="000000"/>
        </w:rPr>
        <w:t xml:space="preserve"> 95/09 and 96/09) </w:t>
      </w:r>
      <w:r w:rsidRPr="000D0C3A">
        <w:t>admissible.</w:t>
      </w:r>
    </w:p>
    <w:p w:rsidR="00D54450" w:rsidRPr="00EE6125" w:rsidRDefault="00D54450" w:rsidP="00E025EE">
      <w:pPr>
        <w:pStyle w:val="ColorfulList-Accent11"/>
        <w:tabs>
          <w:tab w:val="num" w:pos="360"/>
        </w:tabs>
        <w:ind w:left="360"/>
        <w:rPr>
          <w:color w:val="000000"/>
          <w:lang w:val="en-GB"/>
        </w:rPr>
      </w:pPr>
    </w:p>
    <w:p w:rsidR="00D54450" w:rsidRDefault="00837E96" w:rsidP="00E025EE">
      <w:pPr>
        <w:numPr>
          <w:ilvl w:val="0"/>
          <w:numId w:val="2"/>
        </w:numPr>
        <w:tabs>
          <w:tab w:val="clear" w:pos="810"/>
          <w:tab w:val="num" w:pos="360"/>
        </w:tabs>
        <w:ind w:left="360"/>
        <w:jc w:val="both"/>
        <w:rPr>
          <w:lang w:val="en-GB"/>
        </w:rPr>
      </w:pPr>
      <w:r w:rsidRPr="00EE6125">
        <w:rPr>
          <w:color w:val="000000"/>
          <w:lang w:val="en-GB"/>
        </w:rPr>
        <w:t>On 28</w:t>
      </w:r>
      <w:r w:rsidR="00D54450" w:rsidRPr="00EE6125">
        <w:rPr>
          <w:color w:val="000000"/>
          <w:lang w:val="en-GB"/>
        </w:rPr>
        <w:t xml:space="preserve"> </w:t>
      </w:r>
      <w:r w:rsidRPr="00EE6125">
        <w:rPr>
          <w:color w:val="000000"/>
          <w:lang w:val="en-GB"/>
        </w:rPr>
        <w:t>October 2</w:t>
      </w:r>
      <w:r w:rsidR="00D54450" w:rsidRPr="00EE6125">
        <w:rPr>
          <w:color w:val="000000"/>
          <w:lang w:val="en-GB"/>
        </w:rPr>
        <w:t>01</w:t>
      </w:r>
      <w:r w:rsidRPr="00EE6125">
        <w:rPr>
          <w:color w:val="000000"/>
          <w:lang w:val="en-GB"/>
        </w:rPr>
        <w:t>1</w:t>
      </w:r>
      <w:r w:rsidR="00D54450" w:rsidRPr="00EE6125">
        <w:rPr>
          <w:color w:val="000000"/>
          <w:lang w:val="en-GB"/>
        </w:rPr>
        <w:t xml:space="preserve">, </w:t>
      </w:r>
      <w:r w:rsidR="00D54450" w:rsidRPr="000D0C3A">
        <w:rPr>
          <w:lang w:val="en-GB"/>
        </w:rPr>
        <w:t>the Panel forwarded its decision on admissibility of the complaint</w:t>
      </w:r>
      <w:r>
        <w:rPr>
          <w:lang w:val="en-GB"/>
        </w:rPr>
        <w:t>s</w:t>
      </w:r>
      <w:r w:rsidR="00D54450" w:rsidRPr="000D0C3A">
        <w:rPr>
          <w:lang w:val="en-GB"/>
        </w:rPr>
        <w:t xml:space="preserve"> of </w:t>
      </w:r>
      <w:r w:rsidRPr="00EE6125">
        <w:rPr>
          <w:color w:val="000000"/>
        </w:rPr>
        <w:t xml:space="preserve">Mr Milan </w:t>
      </w:r>
      <w:proofErr w:type="spellStart"/>
      <w:r w:rsidRPr="00EE6125">
        <w:rPr>
          <w:color w:val="000000"/>
        </w:rPr>
        <w:t>Petrović</w:t>
      </w:r>
      <w:proofErr w:type="spellEnd"/>
      <w:r w:rsidRPr="00EE6125">
        <w:rPr>
          <w:color w:val="000000"/>
        </w:rPr>
        <w:t xml:space="preserve"> </w:t>
      </w:r>
      <w:r w:rsidR="00D54450" w:rsidRPr="000D0C3A">
        <w:rPr>
          <w:lang w:val="en-GB"/>
        </w:rPr>
        <w:t>to the SRSG</w:t>
      </w:r>
      <w:r w:rsidR="006C55F8">
        <w:rPr>
          <w:lang w:val="en-GB"/>
        </w:rPr>
        <w:t>,</w:t>
      </w:r>
      <w:r w:rsidR="00D54450" w:rsidRPr="000D0C3A">
        <w:rPr>
          <w:lang w:val="en-GB"/>
        </w:rPr>
        <w:t xml:space="preserve"> requesting UNMIK’s comments on the merits of the complaint</w:t>
      </w:r>
      <w:r w:rsidR="00170B3E">
        <w:rPr>
          <w:lang w:val="en-GB"/>
        </w:rPr>
        <w:t>s</w:t>
      </w:r>
      <w:r w:rsidR="00D54450" w:rsidRPr="000D0C3A">
        <w:rPr>
          <w:lang w:val="en-GB"/>
        </w:rPr>
        <w:t>, as well as copies of the investigative files relevant to the case.</w:t>
      </w:r>
    </w:p>
    <w:p w:rsidR="006C55F8" w:rsidRPr="006C55F8" w:rsidRDefault="006C55F8" w:rsidP="00E025EE">
      <w:pPr>
        <w:tabs>
          <w:tab w:val="num" w:pos="360"/>
        </w:tabs>
        <w:ind w:left="360"/>
        <w:jc w:val="both"/>
      </w:pPr>
    </w:p>
    <w:p w:rsidR="006C55F8" w:rsidRPr="006C55F8" w:rsidRDefault="006C55F8" w:rsidP="00E025EE">
      <w:pPr>
        <w:numPr>
          <w:ilvl w:val="0"/>
          <w:numId w:val="2"/>
        </w:numPr>
        <w:tabs>
          <w:tab w:val="clear" w:pos="810"/>
          <w:tab w:val="num" w:pos="360"/>
        </w:tabs>
        <w:ind w:left="360"/>
        <w:jc w:val="both"/>
      </w:pPr>
      <w:r w:rsidRPr="00EE6125">
        <w:rPr>
          <w:color w:val="000000"/>
        </w:rPr>
        <w:t>On 2 December 2011, the SRSG provided UNMIK’s response, together with the copies of the available relevant investigative documents.</w:t>
      </w:r>
    </w:p>
    <w:p w:rsidR="00837E96" w:rsidRDefault="00837E96" w:rsidP="00837E96">
      <w:pPr>
        <w:pStyle w:val="ColorfulList-Accent11"/>
        <w:rPr>
          <w:lang w:val="en-GB"/>
        </w:rPr>
      </w:pPr>
    </w:p>
    <w:p w:rsidR="00837E96" w:rsidRPr="00EE6125" w:rsidRDefault="006C55F8" w:rsidP="00837E96">
      <w:pPr>
        <w:autoSpaceDE w:val="0"/>
        <w:jc w:val="both"/>
        <w:rPr>
          <w:i/>
          <w:color w:val="000000"/>
        </w:rPr>
      </w:pPr>
      <w:bookmarkStart w:id="3" w:name="_Ref372640474"/>
      <w:r w:rsidRPr="00EE6125">
        <w:rPr>
          <w:i/>
          <w:color w:val="000000"/>
        </w:rPr>
        <w:t>Return of investigative f</w:t>
      </w:r>
      <w:r w:rsidR="00837E96" w:rsidRPr="00EE6125">
        <w:rPr>
          <w:i/>
          <w:color w:val="000000"/>
        </w:rPr>
        <w:t xml:space="preserve">iles </w:t>
      </w:r>
      <w:r w:rsidRPr="00EE6125">
        <w:rPr>
          <w:i/>
          <w:color w:val="000000"/>
        </w:rPr>
        <w:t xml:space="preserve">related to the cases </w:t>
      </w:r>
      <w:proofErr w:type="spellStart"/>
      <w:r w:rsidRPr="00EE6125">
        <w:rPr>
          <w:i/>
          <w:color w:val="000000"/>
        </w:rPr>
        <w:t>nos</w:t>
      </w:r>
      <w:proofErr w:type="spellEnd"/>
      <w:r w:rsidRPr="00EE6125">
        <w:rPr>
          <w:i/>
          <w:color w:val="000000"/>
        </w:rPr>
        <w:t xml:space="preserve"> 73/09, 74/09 and 78/09 from the UN Headquarters</w:t>
      </w:r>
    </w:p>
    <w:p w:rsidR="00837E96" w:rsidRPr="00EE6125" w:rsidRDefault="00837E96" w:rsidP="00837E96">
      <w:pPr>
        <w:rPr>
          <w:color w:val="000000"/>
          <w:lang w:val="en-GB"/>
        </w:rPr>
      </w:pPr>
    </w:p>
    <w:p w:rsidR="001416CD" w:rsidRPr="00EE6125" w:rsidRDefault="001416CD" w:rsidP="00E025EE">
      <w:pPr>
        <w:numPr>
          <w:ilvl w:val="0"/>
          <w:numId w:val="2"/>
        </w:numPr>
        <w:tabs>
          <w:tab w:val="clear" w:pos="810"/>
          <w:tab w:val="num" w:pos="360"/>
        </w:tabs>
        <w:ind w:left="360"/>
        <w:jc w:val="both"/>
        <w:rPr>
          <w:lang w:val="en-GB"/>
        </w:rPr>
      </w:pPr>
      <w:bookmarkStart w:id="4" w:name="_Ref404178818"/>
      <w:r w:rsidRPr="00B370C6">
        <w:rPr>
          <w:lang w:val="en-GB"/>
        </w:rPr>
        <w:t xml:space="preserve">Following the Panel’s inquiries, on 4 October 2012, UNMIK requested the </w:t>
      </w:r>
      <w:r w:rsidRPr="00B370C6">
        <w:t>Archives and Records Management Section of the United Nations’ (UN) Headquarters</w:t>
      </w:r>
      <w:r w:rsidRPr="00B370C6">
        <w:rPr>
          <w:lang w:val="en-GB"/>
        </w:rPr>
        <w:t xml:space="preserve"> in New York to </w:t>
      </w:r>
      <w:r w:rsidRPr="00E025EE">
        <w:rPr>
          <w:color w:val="000000"/>
        </w:rPr>
        <w:t>locate</w:t>
      </w:r>
      <w:r w:rsidRPr="00B370C6">
        <w:rPr>
          <w:lang w:val="en-GB"/>
        </w:rPr>
        <w:t xml:space="preserve"> and return to UNMIK a number of investigative files related to the complaints before</w:t>
      </w:r>
      <w:r w:rsidRPr="00EE6125">
        <w:rPr>
          <w:lang w:val="en-GB"/>
        </w:rPr>
        <w:t xml:space="preserve"> the </w:t>
      </w:r>
      <w:r w:rsidR="00EB53B5">
        <w:rPr>
          <w:lang w:val="en-GB"/>
        </w:rPr>
        <w:t>Panel</w:t>
      </w:r>
      <w:r w:rsidRPr="00EE6125">
        <w:rPr>
          <w:lang w:val="en-GB"/>
        </w:rPr>
        <w:t>.</w:t>
      </w:r>
      <w:bookmarkEnd w:id="3"/>
      <w:bookmarkEnd w:id="4"/>
    </w:p>
    <w:p w:rsidR="001416CD" w:rsidRPr="00EE6125" w:rsidRDefault="001416CD" w:rsidP="001416CD">
      <w:pPr>
        <w:pStyle w:val="ColorfulList-Accent11"/>
        <w:rPr>
          <w:color w:val="000000"/>
          <w:lang w:val="en-GB"/>
        </w:rPr>
      </w:pPr>
    </w:p>
    <w:p w:rsidR="001416CD" w:rsidRPr="00B370C6" w:rsidRDefault="001416CD" w:rsidP="00E025EE">
      <w:pPr>
        <w:numPr>
          <w:ilvl w:val="0"/>
          <w:numId w:val="2"/>
        </w:numPr>
        <w:tabs>
          <w:tab w:val="clear" w:pos="810"/>
          <w:tab w:val="num" w:pos="360"/>
        </w:tabs>
        <w:ind w:left="360"/>
        <w:jc w:val="both"/>
        <w:rPr>
          <w:lang w:val="en-GB"/>
        </w:rPr>
      </w:pPr>
      <w:bookmarkStart w:id="5" w:name="_Ref372640476"/>
      <w:r w:rsidRPr="00EE6125">
        <w:t xml:space="preserve">On 14 December 2012, UNMIK received the requested investigative files from the UN </w:t>
      </w:r>
      <w:r w:rsidRPr="00B370C6">
        <w:t xml:space="preserve">Headquarters in New York. On 17 December 2012, UNMIK presented those documents, </w:t>
      </w:r>
      <w:r w:rsidRPr="00E025EE">
        <w:rPr>
          <w:color w:val="000000"/>
        </w:rPr>
        <w:t>including</w:t>
      </w:r>
      <w:r w:rsidRPr="00B370C6">
        <w:t xml:space="preserve"> </w:t>
      </w:r>
      <w:r w:rsidR="003B682A" w:rsidRPr="00B370C6">
        <w:t xml:space="preserve">some documents </w:t>
      </w:r>
      <w:r w:rsidRPr="00B370C6">
        <w:t xml:space="preserve">related to </w:t>
      </w:r>
      <w:r w:rsidR="00837E96" w:rsidRPr="00B370C6">
        <w:t xml:space="preserve">two </w:t>
      </w:r>
      <w:r w:rsidR="006C55F8" w:rsidRPr="00B370C6">
        <w:t>of</w:t>
      </w:r>
      <w:r w:rsidR="00837E96" w:rsidRPr="00B370C6">
        <w:t xml:space="preserve"> the complaints of Ms Lela </w:t>
      </w:r>
      <w:proofErr w:type="spellStart"/>
      <w:r w:rsidR="00837E96" w:rsidRPr="00B370C6">
        <w:t>Nikolić</w:t>
      </w:r>
      <w:proofErr w:type="spellEnd"/>
      <w:r w:rsidR="00837E96" w:rsidRPr="00B370C6">
        <w:t xml:space="preserve"> (</w:t>
      </w:r>
      <w:proofErr w:type="spellStart"/>
      <w:r w:rsidR="00837E96" w:rsidRPr="00B370C6">
        <w:t>nos</w:t>
      </w:r>
      <w:proofErr w:type="spellEnd"/>
      <w:r w:rsidR="00837E96" w:rsidRPr="00B370C6">
        <w:t xml:space="preserve"> 73/09 and 74/09) and the </w:t>
      </w:r>
      <w:r w:rsidRPr="00B370C6">
        <w:t>complaint of M</w:t>
      </w:r>
      <w:r w:rsidR="00837E96" w:rsidRPr="00B370C6">
        <w:t xml:space="preserve">s </w:t>
      </w:r>
      <w:proofErr w:type="spellStart"/>
      <w:r w:rsidR="00837E96" w:rsidRPr="00B370C6">
        <w:t>Rosanda</w:t>
      </w:r>
      <w:proofErr w:type="spellEnd"/>
      <w:r w:rsidR="00837E96" w:rsidRPr="00B370C6">
        <w:t xml:space="preserve"> </w:t>
      </w:r>
      <w:proofErr w:type="spellStart"/>
      <w:r w:rsidR="00837E96" w:rsidRPr="00B370C6">
        <w:t>Kabaš</w:t>
      </w:r>
      <w:proofErr w:type="spellEnd"/>
      <w:r w:rsidR="009F206A" w:rsidRPr="00B370C6">
        <w:t xml:space="preserve"> (no. 7</w:t>
      </w:r>
      <w:r w:rsidR="00837E96" w:rsidRPr="00B370C6">
        <w:t>8</w:t>
      </w:r>
      <w:r w:rsidR="009F206A" w:rsidRPr="00B370C6">
        <w:t>/09)</w:t>
      </w:r>
      <w:r w:rsidRPr="00B370C6">
        <w:t>, to the Panel.</w:t>
      </w:r>
      <w:bookmarkEnd w:id="5"/>
    </w:p>
    <w:p w:rsidR="006C55F8" w:rsidRPr="00EE6125" w:rsidRDefault="006C55F8" w:rsidP="006C55F8">
      <w:pPr>
        <w:autoSpaceDE w:val="0"/>
        <w:jc w:val="both"/>
        <w:rPr>
          <w:i/>
          <w:color w:val="000000"/>
        </w:rPr>
      </w:pPr>
    </w:p>
    <w:p w:rsidR="006C55F8" w:rsidRPr="00272D5D" w:rsidRDefault="006C55F8" w:rsidP="006C55F8">
      <w:pPr>
        <w:autoSpaceDE w:val="0"/>
        <w:autoSpaceDN w:val="0"/>
        <w:adjustRightInd w:val="0"/>
        <w:jc w:val="both"/>
        <w:rPr>
          <w:bCs/>
          <w:i/>
        </w:rPr>
      </w:pPr>
      <w:r w:rsidRPr="00EE6125">
        <w:rPr>
          <w:i/>
          <w:color w:val="000000"/>
        </w:rPr>
        <w:t>Joinder of all complain</w:t>
      </w:r>
      <w:r w:rsidR="00EA15E9">
        <w:rPr>
          <w:i/>
          <w:color w:val="000000"/>
        </w:rPr>
        <w:t>t</w:t>
      </w:r>
      <w:r w:rsidRPr="00EE6125">
        <w:rPr>
          <w:i/>
          <w:color w:val="000000"/>
        </w:rPr>
        <w:t>s (</w:t>
      </w:r>
      <w:proofErr w:type="spellStart"/>
      <w:r w:rsidRPr="00EE6125">
        <w:rPr>
          <w:i/>
          <w:color w:val="000000"/>
        </w:rPr>
        <w:t>nos</w:t>
      </w:r>
      <w:proofErr w:type="spellEnd"/>
      <w:r w:rsidRPr="00EE6125">
        <w:rPr>
          <w:i/>
          <w:color w:val="000000"/>
        </w:rPr>
        <w:t xml:space="preserve"> </w:t>
      </w:r>
      <w:r w:rsidRPr="00272D5D">
        <w:rPr>
          <w:i/>
        </w:rPr>
        <w:t>72/09, 73/09, 74/09, 75/09, 76/09, 78/09, 95/09 and 96/09)</w:t>
      </w:r>
    </w:p>
    <w:p w:rsidR="006C55F8" w:rsidRPr="00272D5D" w:rsidRDefault="006C55F8" w:rsidP="006C55F8">
      <w:pPr>
        <w:pStyle w:val="ColorfulList-Accent11"/>
        <w:rPr>
          <w:lang w:val="en-GB"/>
        </w:rPr>
      </w:pPr>
    </w:p>
    <w:p w:rsidR="006C55F8" w:rsidRPr="00272D5D" w:rsidRDefault="006C55F8" w:rsidP="00E025EE">
      <w:pPr>
        <w:numPr>
          <w:ilvl w:val="0"/>
          <w:numId w:val="2"/>
        </w:numPr>
        <w:tabs>
          <w:tab w:val="clear" w:pos="810"/>
          <w:tab w:val="num" w:pos="360"/>
        </w:tabs>
        <w:ind w:left="360"/>
        <w:jc w:val="both"/>
      </w:pPr>
      <w:r w:rsidRPr="00B370C6">
        <w:rPr>
          <w:color w:val="000000"/>
        </w:rPr>
        <w:t xml:space="preserve">On </w:t>
      </w:r>
      <w:r w:rsidRPr="00E025EE">
        <w:rPr>
          <w:color w:val="000000"/>
        </w:rPr>
        <w:t>21</w:t>
      </w:r>
      <w:r w:rsidRPr="00B370C6">
        <w:t xml:space="preserve"> June 2012</w:t>
      </w:r>
      <w:r w:rsidRPr="00B370C6">
        <w:rPr>
          <w:color w:val="000000"/>
        </w:rPr>
        <w:t xml:space="preserve">, the Panel decided to join the </w:t>
      </w:r>
      <w:r w:rsidR="00EA15E9" w:rsidRPr="00B370C6">
        <w:rPr>
          <w:color w:val="000000"/>
        </w:rPr>
        <w:t xml:space="preserve">five </w:t>
      </w:r>
      <w:r w:rsidRPr="00B370C6">
        <w:rPr>
          <w:color w:val="000000"/>
        </w:rPr>
        <w:t xml:space="preserve">complaints of </w:t>
      </w:r>
      <w:r w:rsidRPr="00B370C6">
        <w:t xml:space="preserve">Ms Lela </w:t>
      </w:r>
      <w:proofErr w:type="spellStart"/>
      <w:r w:rsidRPr="00B370C6">
        <w:t>Nikolić</w:t>
      </w:r>
      <w:proofErr w:type="spellEnd"/>
      <w:r w:rsidRPr="00B370C6">
        <w:t xml:space="preserve"> </w:t>
      </w:r>
      <w:r w:rsidRPr="00B370C6">
        <w:rPr>
          <w:color w:val="000000"/>
        </w:rPr>
        <w:t xml:space="preserve">(cases </w:t>
      </w:r>
      <w:proofErr w:type="spellStart"/>
      <w:r w:rsidRPr="00B370C6">
        <w:rPr>
          <w:color w:val="000000"/>
        </w:rPr>
        <w:t>nos</w:t>
      </w:r>
      <w:proofErr w:type="spellEnd"/>
      <w:r w:rsidRPr="00EE6125">
        <w:rPr>
          <w:color w:val="000000"/>
        </w:rPr>
        <w:t xml:space="preserve"> </w:t>
      </w:r>
      <w:r w:rsidRPr="00EE6125">
        <w:rPr>
          <w:bCs/>
          <w:color w:val="000000"/>
        </w:rPr>
        <w:t>72/09, 73/09, 74/09, 75/09 and 76/09</w:t>
      </w:r>
      <w:r w:rsidRPr="00EE6125">
        <w:rPr>
          <w:color w:val="000000"/>
        </w:rPr>
        <w:t xml:space="preserve">), with the complaint of Ms </w:t>
      </w:r>
      <w:proofErr w:type="spellStart"/>
      <w:r w:rsidRPr="00EE6125">
        <w:rPr>
          <w:color w:val="000000"/>
        </w:rPr>
        <w:t>Rosanda</w:t>
      </w:r>
      <w:proofErr w:type="spellEnd"/>
      <w:r w:rsidRPr="00EE6125">
        <w:rPr>
          <w:color w:val="000000"/>
        </w:rPr>
        <w:t xml:space="preserve"> </w:t>
      </w:r>
      <w:proofErr w:type="spellStart"/>
      <w:r w:rsidRPr="00EE6125">
        <w:rPr>
          <w:color w:val="000000"/>
        </w:rPr>
        <w:t>Kabaš</w:t>
      </w:r>
      <w:proofErr w:type="spellEnd"/>
      <w:r w:rsidRPr="00EE6125">
        <w:rPr>
          <w:color w:val="000000"/>
        </w:rPr>
        <w:t xml:space="preserve"> (case no. </w:t>
      </w:r>
      <w:r w:rsidRPr="00EE6125">
        <w:rPr>
          <w:bCs/>
          <w:color w:val="000000"/>
        </w:rPr>
        <w:t xml:space="preserve">78/09) and the </w:t>
      </w:r>
      <w:r w:rsidR="00EA15E9">
        <w:rPr>
          <w:bCs/>
          <w:color w:val="000000"/>
        </w:rPr>
        <w:t xml:space="preserve">two </w:t>
      </w:r>
      <w:r w:rsidRPr="00EE6125">
        <w:rPr>
          <w:bCs/>
          <w:color w:val="000000"/>
        </w:rPr>
        <w:t>complaints of</w:t>
      </w:r>
      <w:r w:rsidRPr="00EE6125">
        <w:rPr>
          <w:i/>
          <w:color w:val="000000"/>
        </w:rPr>
        <w:t xml:space="preserve"> </w:t>
      </w:r>
      <w:r w:rsidRPr="00EE6125">
        <w:rPr>
          <w:color w:val="000000"/>
        </w:rPr>
        <w:t xml:space="preserve">Mr Milan </w:t>
      </w:r>
      <w:proofErr w:type="spellStart"/>
      <w:r w:rsidRPr="00EE6125">
        <w:rPr>
          <w:color w:val="000000"/>
        </w:rPr>
        <w:t>Petrović</w:t>
      </w:r>
      <w:proofErr w:type="spellEnd"/>
      <w:r w:rsidRPr="00EE6125">
        <w:rPr>
          <w:color w:val="000000"/>
        </w:rPr>
        <w:t xml:space="preserve"> (cases </w:t>
      </w:r>
      <w:proofErr w:type="spellStart"/>
      <w:r w:rsidRPr="00EE6125">
        <w:rPr>
          <w:color w:val="000000"/>
        </w:rPr>
        <w:t>nos</w:t>
      </w:r>
      <w:proofErr w:type="spellEnd"/>
      <w:r w:rsidRPr="00EE6125">
        <w:rPr>
          <w:color w:val="000000"/>
        </w:rPr>
        <w:t xml:space="preserve"> 95/09 and 96/09), pursuant to Rule 20 of the Panel’s Rules of Procedure.</w:t>
      </w:r>
    </w:p>
    <w:p w:rsidR="006C55F8" w:rsidRPr="00EE6125" w:rsidRDefault="006C55F8" w:rsidP="006C55F8">
      <w:pPr>
        <w:pStyle w:val="ColorfulList-Accent11"/>
        <w:rPr>
          <w:color w:val="000000"/>
          <w:lang w:val="en-GB"/>
        </w:rPr>
      </w:pPr>
    </w:p>
    <w:p w:rsidR="006C55F8" w:rsidRDefault="00CF7FBE" w:rsidP="006C55F8">
      <w:pPr>
        <w:autoSpaceDE w:val="0"/>
        <w:jc w:val="both"/>
        <w:rPr>
          <w:lang w:val="en-GB"/>
        </w:rPr>
      </w:pPr>
      <w:r w:rsidRPr="00EE6125">
        <w:rPr>
          <w:i/>
          <w:color w:val="000000"/>
        </w:rPr>
        <w:t>Additional c</w:t>
      </w:r>
      <w:r w:rsidR="006C55F8" w:rsidRPr="00EE6125">
        <w:rPr>
          <w:i/>
          <w:color w:val="000000"/>
        </w:rPr>
        <w:t>onfirmation</w:t>
      </w:r>
      <w:r w:rsidRPr="00EE6125">
        <w:rPr>
          <w:i/>
          <w:color w:val="000000"/>
        </w:rPr>
        <w:t>s</w:t>
      </w:r>
      <w:r w:rsidR="006C55F8" w:rsidRPr="00EE6125">
        <w:rPr>
          <w:i/>
          <w:color w:val="000000"/>
        </w:rPr>
        <w:t xml:space="preserve"> in relation to all cases</w:t>
      </w:r>
    </w:p>
    <w:p w:rsidR="0038203A" w:rsidRDefault="0038203A" w:rsidP="00BA4EA7">
      <w:pPr>
        <w:pStyle w:val="ColorfulList-Accent11"/>
        <w:ind w:left="0"/>
        <w:rPr>
          <w:lang w:val="en-GB"/>
        </w:rPr>
      </w:pPr>
    </w:p>
    <w:p w:rsidR="006C55F8" w:rsidRPr="000D0C3A" w:rsidRDefault="006C55F8" w:rsidP="00E025EE">
      <w:pPr>
        <w:numPr>
          <w:ilvl w:val="0"/>
          <w:numId w:val="2"/>
        </w:numPr>
        <w:tabs>
          <w:tab w:val="clear" w:pos="810"/>
          <w:tab w:val="num" w:pos="360"/>
        </w:tabs>
        <w:ind w:left="360"/>
        <w:jc w:val="both"/>
        <w:rPr>
          <w:lang w:val="en-GB"/>
        </w:rPr>
      </w:pPr>
      <w:r w:rsidRPr="00EE6125">
        <w:rPr>
          <w:lang w:val="en-GB"/>
        </w:rPr>
        <w:t>On 18 November 2014,</w:t>
      </w:r>
      <w:r w:rsidRPr="000D0C3A">
        <w:rPr>
          <w:lang w:val="en-GB"/>
        </w:rPr>
        <w:t xml:space="preserve"> the Panel requested UNMIK to confirm whether the disclosure of the </w:t>
      </w:r>
      <w:r w:rsidRPr="00E025EE">
        <w:rPr>
          <w:color w:val="000000"/>
        </w:rPr>
        <w:t>investigative</w:t>
      </w:r>
      <w:r w:rsidRPr="000D0C3A">
        <w:rPr>
          <w:lang w:val="en-GB"/>
        </w:rPr>
        <w:t xml:space="preserve"> files concerning</w:t>
      </w:r>
      <w:r w:rsidR="00EA15E9">
        <w:rPr>
          <w:lang w:val="en-GB"/>
        </w:rPr>
        <w:t xml:space="preserve"> all</w:t>
      </w:r>
      <w:r w:rsidRPr="000D0C3A">
        <w:rPr>
          <w:lang w:val="en-GB"/>
        </w:rPr>
        <w:t xml:space="preserve"> the cases could be considered final.</w:t>
      </w:r>
    </w:p>
    <w:p w:rsidR="006C55F8" w:rsidRPr="000D0C3A" w:rsidRDefault="006C55F8" w:rsidP="006C55F8">
      <w:pPr>
        <w:pStyle w:val="ColorfulList-Accent11"/>
        <w:rPr>
          <w:lang w:val="en-GB"/>
        </w:rPr>
      </w:pPr>
    </w:p>
    <w:p w:rsidR="006C55F8" w:rsidRDefault="006C55F8" w:rsidP="00E025EE">
      <w:pPr>
        <w:numPr>
          <w:ilvl w:val="0"/>
          <w:numId w:val="2"/>
        </w:numPr>
        <w:tabs>
          <w:tab w:val="clear" w:pos="810"/>
          <w:tab w:val="num" w:pos="360"/>
        </w:tabs>
        <w:ind w:left="360"/>
        <w:jc w:val="both"/>
        <w:rPr>
          <w:lang w:val="en-GB"/>
        </w:rPr>
      </w:pPr>
      <w:bookmarkStart w:id="6" w:name="_Ref398312355"/>
      <w:r w:rsidRPr="001D7B73">
        <w:rPr>
          <w:lang w:val="en-GB"/>
        </w:rPr>
        <w:t xml:space="preserve">On </w:t>
      </w:r>
      <w:r w:rsidR="001D7B73" w:rsidRPr="00E025EE">
        <w:rPr>
          <w:color w:val="000000"/>
        </w:rPr>
        <w:t>20</w:t>
      </w:r>
      <w:r w:rsidRPr="00EE6125">
        <w:rPr>
          <w:lang w:val="en-GB"/>
        </w:rPr>
        <w:t xml:space="preserve"> November </w:t>
      </w:r>
      <w:r w:rsidRPr="001D7B73">
        <w:rPr>
          <w:lang w:val="en-GB"/>
        </w:rPr>
        <w:t>2014, UNMIK</w:t>
      </w:r>
      <w:r w:rsidRPr="000D0C3A">
        <w:rPr>
          <w:lang w:val="en-GB"/>
        </w:rPr>
        <w:t xml:space="preserve"> provided its response.</w:t>
      </w:r>
      <w:bookmarkEnd w:id="6"/>
    </w:p>
    <w:p w:rsidR="006C55F8" w:rsidRPr="000D0C3A" w:rsidRDefault="006C55F8" w:rsidP="00BA4EA7">
      <w:pPr>
        <w:pStyle w:val="ColorfulList-Accent11"/>
        <w:ind w:left="0"/>
        <w:rPr>
          <w:lang w:val="en-GB"/>
        </w:rPr>
      </w:pPr>
    </w:p>
    <w:p w:rsidR="00625F42" w:rsidRPr="000D0C3A" w:rsidRDefault="00625F42" w:rsidP="00625F42">
      <w:pPr>
        <w:rPr>
          <w:lang w:val="en-GB"/>
        </w:rPr>
      </w:pPr>
    </w:p>
    <w:p w:rsidR="007C65E0" w:rsidRPr="000D0C3A" w:rsidRDefault="007C65E0" w:rsidP="003D4233">
      <w:pPr>
        <w:numPr>
          <w:ilvl w:val="0"/>
          <w:numId w:val="1"/>
        </w:numPr>
        <w:suppressAutoHyphens/>
        <w:autoSpaceDE w:val="0"/>
        <w:ind w:left="360" w:hanging="360"/>
        <w:jc w:val="both"/>
        <w:rPr>
          <w:b/>
          <w:bCs/>
          <w:lang w:val="en-GB"/>
        </w:rPr>
      </w:pPr>
      <w:r w:rsidRPr="000D0C3A">
        <w:rPr>
          <w:b/>
          <w:bCs/>
          <w:lang w:val="en-GB"/>
        </w:rPr>
        <w:t>THE FACTS</w:t>
      </w:r>
    </w:p>
    <w:p w:rsidR="00680EF0" w:rsidRPr="000D0C3A" w:rsidRDefault="00680EF0" w:rsidP="007C65E0">
      <w:pPr>
        <w:suppressAutoHyphens/>
        <w:autoSpaceDE w:val="0"/>
        <w:jc w:val="both"/>
        <w:rPr>
          <w:b/>
          <w:bCs/>
          <w:lang w:val="en-GB"/>
        </w:rPr>
      </w:pPr>
    </w:p>
    <w:p w:rsidR="00680EF0" w:rsidRPr="000D0C3A" w:rsidRDefault="00680EF0" w:rsidP="003D4233">
      <w:pPr>
        <w:numPr>
          <w:ilvl w:val="0"/>
          <w:numId w:val="3"/>
        </w:numPr>
        <w:contextualSpacing/>
        <w:jc w:val="both"/>
        <w:rPr>
          <w:b/>
          <w:lang w:val="en-GB"/>
        </w:rPr>
      </w:pPr>
      <w:r w:rsidRPr="000D0C3A">
        <w:rPr>
          <w:b/>
          <w:lang w:val="en-GB"/>
        </w:rPr>
        <w:t>General background</w:t>
      </w:r>
      <w:r w:rsidRPr="000D0C3A">
        <w:rPr>
          <w:rStyle w:val="FootnoteReference"/>
          <w:b/>
          <w:lang w:val="en-GB"/>
        </w:rPr>
        <w:footnoteReference w:id="2"/>
      </w:r>
    </w:p>
    <w:p w:rsidR="00680EF0" w:rsidRPr="000D0C3A" w:rsidRDefault="00680EF0" w:rsidP="00680EF0">
      <w:pPr>
        <w:ind w:left="360"/>
        <w:contextualSpacing/>
        <w:jc w:val="both"/>
        <w:rPr>
          <w:b/>
          <w:lang w:val="en-GB"/>
        </w:rPr>
      </w:pPr>
    </w:p>
    <w:p w:rsidR="00E90F47" w:rsidRPr="000D0C3A" w:rsidRDefault="00E90F47" w:rsidP="00E025EE">
      <w:pPr>
        <w:numPr>
          <w:ilvl w:val="0"/>
          <w:numId w:val="2"/>
        </w:numPr>
        <w:tabs>
          <w:tab w:val="clear" w:pos="810"/>
          <w:tab w:val="num" w:pos="360"/>
        </w:tabs>
        <w:ind w:left="360"/>
        <w:jc w:val="both"/>
        <w:rPr>
          <w:lang w:val="en-GB"/>
        </w:rPr>
      </w:pPr>
      <w:r w:rsidRPr="000D0C3A">
        <w:rPr>
          <w:lang w:val="en-GB"/>
        </w:rPr>
        <w:t>The events at issue took place in the territory of Kosovo after the establishment in June 1999 of the United Nations Interim Administration Mission in Kosovo (UNMIK).</w:t>
      </w:r>
    </w:p>
    <w:p w:rsidR="00B06960" w:rsidRPr="000D0C3A" w:rsidRDefault="00B06960" w:rsidP="00B06960">
      <w:pPr>
        <w:pStyle w:val="ColorfulList-Accent11"/>
        <w:ind w:left="360"/>
        <w:jc w:val="both"/>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0D0C3A" w:rsidRDefault="00B06960" w:rsidP="00E025EE">
      <w:pPr>
        <w:tabs>
          <w:tab w:val="num" w:pos="360"/>
        </w:tabs>
        <w:ind w:left="360"/>
        <w:jc w:val="both"/>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 xml:space="preserve">Estimates regarding the effect of the conflict on the displacement of the Kosovo Albanian population range from approximately 800,000 to 1.45 million. Following the adoption </w:t>
      </w:r>
      <w:r w:rsidR="002127E0" w:rsidRPr="000D0C3A">
        <w:rPr>
          <w:lang w:val="en-GB"/>
        </w:rPr>
        <w:t xml:space="preserve">of </w:t>
      </w:r>
      <w:r w:rsidR="002127E0" w:rsidRPr="000D0C3A">
        <w:rPr>
          <w:lang w:val="en-GB"/>
        </w:rPr>
        <w:lastRenderedPageBreak/>
        <w:t>Resolution</w:t>
      </w:r>
      <w:r w:rsidRPr="000D0C3A">
        <w:rPr>
          <w:lang w:val="en-GB"/>
        </w:rPr>
        <w:t xml:space="preserve"> 1244 (1999), the majority of Kosovo Albanians who had fled, or had been forcibly expelled from their houses by the Serbian forces during the conflict, returned to Kosovo. </w:t>
      </w:r>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7" w:name="_Ref346725038"/>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8" w:name="_Ref346123767"/>
      <w:bookmarkEnd w:id="7"/>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bookmarkStart w:id="9" w:name="_Ref398312960"/>
      <w:r w:rsidRPr="000D0C3A">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10" w:name="_Ref346725040"/>
      <w:bookmarkEnd w:id="8"/>
      <w:bookmarkEnd w:id="9"/>
    </w:p>
    <w:p w:rsidR="00B06960" w:rsidRPr="000D0C3A" w:rsidRDefault="00B06960" w:rsidP="00E025EE">
      <w:pPr>
        <w:pStyle w:val="ColorfulList-Accent11"/>
        <w:tabs>
          <w:tab w:val="num" w:pos="360"/>
        </w:tabs>
        <w:ind w:left="360"/>
        <w:rPr>
          <w:lang w:val="en-GB"/>
        </w:rPr>
      </w:pPr>
    </w:p>
    <w:p w:rsidR="00655881" w:rsidRPr="000D0C3A" w:rsidRDefault="00655881" w:rsidP="00E025EE">
      <w:pPr>
        <w:numPr>
          <w:ilvl w:val="0"/>
          <w:numId w:val="2"/>
        </w:numPr>
        <w:tabs>
          <w:tab w:val="clear" w:pos="810"/>
          <w:tab w:val="num" w:pos="360"/>
        </w:tabs>
        <w:ind w:left="360"/>
        <w:jc w:val="both"/>
        <w:rPr>
          <w:lang w:val="en-GB"/>
        </w:rPr>
      </w:pPr>
      <w:bookmarkStart w:id="11" w:name="_Ref346123927"/>
      <w:bookmarkEnd w:id="10"/>
      <w:r w:rsidRPr="000D0C3A">
        <w:rPr>
          <w:lang w:val="en-GB"/>
        </w:rPr>
        <w:lastRenderedPageBreak/>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0D0C3A">
        <w:rPr>
          <w:lang w:val="en-GB"/>
        </w:rPr>
        <w:t>persons</w:t>
      </w:r>
      <w:proofErr w:type="gramEnd"/>
      <w:r w:rsidRPr="000D0C3A">
        <w:rPr>
          <w:lang w:val="en-GB"/>
        </w:rPr>
        <w:t xml:space="preserve"> cases in Kosovo. In May 2000, a Victim Recovery and Identification Commission chaired by UNMIK </w:t>
      </w:r>
      <w:proofErr w:type="gramStart"/>
      <w:r w:rsidRPr="000D0C3A">
        <w:rPr>
          <w:lang w:val="en-GB"/>
        </w:rPr>
        <w:t>was</w:t>
      </w:r>
      <w:proofErr w:type="gramEnd"/>
      <w:r w:rsidRPr="000D0C3A">
        <w:rPr>
          <w:lang w:val="en-GB"/>
        </w:rPr>
        <w:t xml:space="preserve"> created for the recovery, identification and disposition of mortal remains. On 5 November 2001, UNMIK signed the UNMIK-FRY Common Document reiterating, among other things, its commitment to solving the fate of missing persons from all communities, and recognizing that the exhumation and identification programme is only a part of the activities related to missing persons. As of June 2002, the newly established Office on Missing Persons and Forensics (OMPF) in the UNMIK Department of Justice (DOJ) became the sole authority mandated to determine the whereabouts of missing </w:t>
      </w:r>
      <w:proofErr w:type="gramStart"/>
      <w:r w:rsidRPr="000D0C3A">
        <w:rPr>
          <w:lang w:val="en-GB"/>
        </w:rPr>
        <w:t>persons,</w:t>
      </w:r>
      <w:proofErr w:type="gramEnd"/>
      <w:r w:rsidRPr="000D0C3A">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 </w:t>
      </w:r>
    </w:p>
    <w:p w:rsidR="00B06960" w:rsidRPr="000D0C3A" w:rsidRDefault="00B06960" w:rsidP="00E025EE">
      <w:pPr>
        <w:tabs>
          <w:tab w:val="num" w:pos="360"/>
        </w:tabs>
        <w:ind w:left="360"/>
        <w:jc w:val="both"/>
        <w:rPr>
          <w:lang w:val="en-GB"/>
        </w:rPr>
      </w:pPr>
    </w:p>
    <w:p w:rsidR="00B06960" w:rsidRPr="000D0C3A" w:rsidRDefault="00B06960" w:rsidP="00E025EE">
      <w:pPr>
        <w:numPr>
          <w:ilvl w:val="0"/>
          <w:numId w:val="2"/>
        </w:numPr>
        <w:tabs>
          <w:tab w:val="clear" w:pos="810"/>
          <w:tab w:val="num" w:pos="360"/>
        </w:tabs>
        <w:ind w:left="360"/>
        <w:jc w:val="both"/>
        <w:rPr>
          <w:lang w:val="en-GB"/>
        </w:rPr>
      </w:pPr>
      <w:bookmarkStart w:id="12" w:name="_Ref401243163"/>
      <w:r w:rsidRPr="000D0C3A">
        <w:rPr>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13" w:name="_Ref346123928"/>
      <w:bookmarkEnd w:id="11"/>
      <w:bookmarkEnd w:id="12"/>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On the same da</w:t>
      </w:r>
      <w:r w:rsidR="000253E8" w:rsidRPr="000D0C3A">
        <w:rPr>
          <w:lang w:val="en-GB"/>
        </w:rPr>
        <w:t>te, UNMIK and EULEX signed a Memorandum of Understanding</w:t>
      </w:r>
      <w:r w:rsidRPr="000D0C3A">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w:t>
      </w:r>
      <w:r w:rsidR="00E21754" w:rsidRPr="000D0C3A">
        <w:rPr>
          <w:lang w:val="en-GB"/>
        </w:rPr>
        <w:t>DOJ</w:t>
      </w:r>
      <w:r w:rsidRPr="000D0C3A">
        <w:rPr>
          <w:lang w:val="en-GB"/>
        </w:rPr>
        <w:t xml:space="preserve"> and UNMIK Police were</w:t>
      </w:r>
      <w:r w:rsidR="00D05A60" w:rsidRPr="000D0C3A">
        <w:rPr>
          <w:lang w:val="en-GB"/>
        </w:rPr>
        <w:t xml:space="preserve"> supposed to be</w:t>
      </w:r>
      <w:r w:rsidRPr="000D0C3A">
        <w:rPr>
          <w:lang w:val="en-GB"/>
        </w:rPr>
        <w:t xml:space="preserve"> handed over to EULEX.</w:t>
      </w:r>
      <w:bookmarkEnd w:id="13"/>
    </w:p>
    <w:p w:rsidR="002127E0" w:rsidRPr="000D0C3A" w:rsidRDefault="002127E0" w:rsidP="00B869D6">
      <w:pPr>
        <w:jc w:val="both"/>
        <w:rPr>
          <w:lang w:val="en-GB"/>
        </w:rPr>
      </w:pPr>
    </w:p>
    <w:p w:rsidR="00672C40" w:rsidRPr="00672C40" w:rsidRDefault="00192751" w:rsidP="00672C40">
      <w:pPr>
        <w:pStyle w:val="ColorfulList-Accent11"/>
        <w:numPr>
          <w:ilvl w:val="0"/>
          <w:numId w:val="3"/>
        </w:numPr>
        <w:autoSpaceDE w:val="0"/>
        <w:jc w:val="both"/>
        <w:rPr>
          <w:lang w:val="en-GB"/>
        </w:rPr>
      </w:pPr>
      <w:r w:rsidRPr="00672C40">
        <w:rPr>
          <w:b/>
          <w:bCs/>
          <w:lang w:val="en-GB"/>
        </w:rPr>
        <w:t xml:space="preserve">Circumstances surrounding the </w:t>
      </w:r>
      <w:r w:rsidR="00AE425E" w:rsidRPr="00672C40">
        <w:rPr>
          <w:b/>
          <w:bCs/>
          <w:lang w:val="en-GB"/>
        </w:rPr>
        <w:t xml:space="preserve">abduction and disappearance </w:t>
      </w:r>
      <w:r w:rsidR="00B404E9" w:rsidRPr="00672C40">
        <w:rPr>
          <w:b/>
          <w:bCs/>
          <w:lang w:val="en-GB"/>
        </w:rPr>
        <w:t>of</w:t>
      </w:r>
      <w:r w:rsidR="00405253">
        <w:rPr>
          <w:b/>
          <w:bCs/>
          <w:lang w:val="en-GB"/>
        </w:rPr>
        <w:t xml:space="preserve"> the complain</w:t>
      </w:r>
      <w:r w:rsidR="00EA15E9">
        <w:rPr>
          <w:b/>
          <w:bCs/>
          <w:lang w:val="en-GB"/>
        </w:rPr>
        <w:t>a</w:t>
      </w:r>
      <w:r w:rsidR="00405253">
        <w:rPr>
          <w:b/>
          <w:bCs/>
          <w:lang w:val="en-GB"/>
        </w:rPr>
        <w:t>nts’ close relatives</w:t>
      </w:r>
    </w:p>
    <w:p w:rsidR="00672C40" w:rsidRPr="00672C40" w:rsidRDefault="00672C40" w:rsidP="00672C40">
      <w:pPr>
        <w:ind w:left="360"/>
        <w:jc w:val="both"/>
        <w:rPr>
          <w:bCs/>
        </w:rPr>
      </w:pPr>
    </w:p>
    <w:p w:rsidR="00930245" w:rsidRPr="00930245" w:rsidRDefault="00930245" w:rsidP="00930245">
      <w:pPr>
        <w:pStyle w:val="ColorfulList-Accent11"/>
        <w:numPr>
          <w:ilvl w:val="1"/>
          <w:numId w:val="1"/>
        </w:numPr>
        <w:tabs>
          <w:tab w:val="clear" w:pos="360"/>
          <w:tab w:val="num" w:pos="270"/>
        </w:tabs>
        <w:ind w:left="270" w:hanging="270"/>
        <w:jc w:val="both"/>
        <w:rPr>
          <w:i/>
          <w:lang w:val="en-GB"/>
        </w:rPr>
      </w:pPr>
      <w:r>
        <w:rPr>
          <w:i/>
          <w:lang w:val="en-GB"/>
        </w:rPr>
        <w:t>Abduction</w:t>
      </w:r>
      <w:r w:rsidR="00610E0F">
        <w:rPr>
          <w:i/>
          <w:lang w:val="en-GB"/>
        </w:rPr>
        <w:t xml:space="preserve"> and </w:t>
      </w:r>
      <w:r w:rsidR="00610E0F" w:rsidRPr="006F4C09">
        <w:rPr>
          <w:i/>
          <w:lang w:val="en-GB"/>
        </w:rPr>
        <w:t xml:space="preserve">disappearance </w:t>
      </w:r>
      <w:r w:rsidRPr="006F4C09">
        <w:rPr>
          <w:i/>
          <w:lang w:val="en-GB"/>
        </w:rPr>
        <w:t xml:space="preserve">of </w:t>
      </w:r>
      <w:r w:rsidR="00610E0F" w:rsidRPr="006F4C09">
        <w:rPr>
          <w:i/>
          <w:lang w:val="en-GB"/>
        </w:rPr>
        <w:t xml:space="preserve">the </w:t>
      </w:r>
      <w:proofErr w:type="spellStart"/>
      <w:r w:rsidR="00FD51B7" w:rsidRPr="006F4C09">
        <w:rPr>
          <w:i/>
          <w:lang w:val="en-GB"/>
        </w:rPr>
        <w:t>Šutaković</w:t>
      </w:r>
      <w:proofErr w:type="spellEnd"/>
      <w:r w:rsidR="00FD51B7" w:rsidRPr="006F4C09">
        <w:rPr>
          <w:i/>
          <w:lang w:val="en-GB"/>
        </w:rPr>
        <w:t xml:space="preserve"> </w:t>
      </w:r>
      <w:r w:rsidR="00610E0F" w:rsidRPr="006F4C09">
        <w:rPr>
          <w:i/>
          <w:lang w:val="en-GB"/>
        </w:rPr>
        <w:t xml:space="preserve">family </w:t>
      </w:r>
      <w:r w:rsidR="00FD51B7" w:rsidRPr="006F4C09">
        <w:rPr>
          <w:i/>
          <w:lang w:val="en-GB"/>
        </w:rPr>
        <w:t>(</w:t>
      </w:r>
      <w:r w:rsidR="00FD51B7" w:rsidRPr="006F4C09">
        <w:rPr>
          <w:i/>
        </w:rPr>
        <w:t>case</w:t>
      </w:r>
      <w:r w:rsidR="00610E0F" w:rsidRPr="006F4C09">
        <w:rPr>
          <w:i/>
        </w:rPr>
        <w:t>s</w:t>
      </w:r>
      <w:r w:rsidR="00FD51B7" w:rsidRPr="006F4C09">
        <w:rPr>
          <w:i/>
        </w:rPr>
        <w:t xml:space="preserve"> </w:t>
      </w:r>
      <w:proofErr w:type="spellStart"/>
      <w:r w:rsidR="00FD51B7" w:rsidRPr="006F4C09">
        <w:rPr>
          <w:i/>
        </w:rPr>
        <w:t>no</w:t>
      </w:r>
      <w:r w:rsidR="00610E0F" w:rsidRPr="006F4C09">
        <w:rPr>
          <w:i/>
        </w:rPr>
        <w:t>s</w:t>
      </w:r>
      <w:proofErr w:type="spellEnd"/>
      <w:r w:rsidR="00FD51B7" w:rsidRPr="00930245">
        <w:rPr>
          <w:i/>
        </w:rPr>
        <w:t xml:space="preserve"> 7</w:t>
      </w:r>
      <w:r w:rsidR="00FD51B7">
        <w:rPr>
          <w:i/>
        </w:rPr>
        <w:t>2</w:t>
      </w:r>
      <w:r w:rsidR="00FD51B7" w:rsidRPr="00930245">
        <w:rPr>
          <w:i/>
        </w:rPr>
        <w:t>/09</w:t>
      </w:r>
      <w:r w:rsidR="00610E0F">
        <w:rPr>
          <w:i/>
        </w:rPr>
        <w:t xml:space="preserve">, </w:t>
      </w:r>
      <w:r w:rsidRPr="00930245">
        <w:rPr>
          <w:i/>
        </w:rPr>
        <w:t>7</w:t>
      </w:r>
      <w:r w:rsidR="00610E0F">
        <w:rPr>
          <w:i/>
        </w:rPr>
        <w:t>3</w:t>
      </w:r>
      <w:r w:rsidRPr="00930245">
        <w:rPr>
          <w:i/>
        </w:rPr>
        <w:t>/09</w:t>
      </w:r>
      <w:r w:rsidR="00610E0F">
        <w:rPr>
          <w:i/>
        </w:rPr>
        <w:t>,</w:t>
      </w:r>
      <w:r w:rsidR="00FD51B7" w:rsidRPr="00930245">
        <w:rPr>
          <w:i/>
        </w:rPr>
        <w:t xml:space="preserve"> 7</w:t>
      </w:r>
      <w:r w:rsidR="00610E0F">
        <w:rPr>
          <w:i/>
        </w:rPr>
        <w:t>4</w:t>
      </w:r>
      <w:r w:rsidR="00FD51B7" w:rsidRPr="00930245">
        <w:rPr>
          <w:i/>
        </w:rPr>
        <w:t>/09</w:t>
      </w:r>
      <w:r w:rsidR="00610E0F">
        <w:rPr>
          <w:i/>
        </w:rPr>
        <w:t xml:space="preserve">, </w:t>
      </w:r>
      <w:r w:rsidR="00EA15E9">
        <w:rPr>
          <w:i/>
        </w:rPr>
        <w:t>7</w:t>
      </w:r>
      <w:r w:rsidR="00610E0F">
        <w:rPr>
          <w:i/>
        </w:rPr>
        <w:t xml:space="preserve">5/09 and </w:t>
      </w:r>
      <w:r w:rsidR="00FD51B7" w:rsidRPr="00930245">
        <w:rPr>
          <w:i/>
        </w:rPr>
        <w:t>7</w:t>
      </w:r>
      <w:r w:rsidR="00FD51B7">
        <w:rPr>
          <w:i/>
        </w:rPr>
        <w:t>6</w:t>
      </w:r>
      <w:r w:rsidR="00610E0F">
        <w:rPr>
          <w:i/>
        </w:rPr>
        <w:t>/09)</w:t>
      </w:r>
    </w:p>
    <w:p w:rsidR="00930245" w:rsidRDefault="00930245" w:rsidP="00930245">
      <w:pPr>
        <w:pStyle w:val="ColorfulList-Accent11"/>
        <w:ind w:left="270"/>
        <w:jc w:val="both"/>
        <w:rPr>
          <w:i/>
          <w:lang w:val="en-GB"/>
        </w:rPr>
      </w:pPr>
    </w:p>
    <w:p w:rsidR="00930245" w:rsidRDefault="00930245" w:rsidP="00E025EE">
      <w:pPr>
        <w:numPr>
          <w:ilvl w:val="0"/>
          <w:numId w:val="2"/>
        </w:numPr>
        <w:tabs>
          <w:tab w:val="clear" w:pos="810"/>
          <w:tab w:val="num" w:pos="360"/>
        </w:tabs>
        <w:ind w:left="360"/>
        <w:jc w:val="both"/>
      </w:pPr>
      <w:r w:rsidRPr="00DB648C">
        <w:t xml:space="preserve">The </w:t>
      </w:r>
      <w:r w:rsidR="00EA15E9">
        <w:t xml:space="preserve">first </w:t>
      </w:r>
      <w:r w:rsidRPr="00E025EE">
        <w:rPr>
          <w:lang w:val="en-GB"/>
        </w:rPr>
        <w:t>complainant</w:t>
      </w:r>
      <w:r w:rsidR="00EA15E9">
        <w:t>,</w:t>
      </w:r>
      <w:r w:rsidRPr="00DB648C">
        <w:t xml:space="preserve"> </w:t>
      </w:r>
      <w:r w:rsidR="00EA15E9" w:rsidRPr="000D0C3A">
        <w:t>Ms L</w:t>
      </w:r>
      <w:r w:rsidR="00EA15E9">
        <w:t xml:space="preserve">ela </w:t>
      </w:r>
      <w:proofErr w:type="spellStart"/>
      <w:r w:rsidR="00EA15E9">
        <w:t>Nikolić</w:t>
      </w:r>
      <w:proofErr w:type="spellEnd"/>
      <w:r w:rsidR="00EA15E9">
        <w:t xml:space="preserve">, </w:t>
      </w:r>
      <w:r w:rsidRPr="00DB648C">
        <w:t xml:space="preserve">is a </w:t>
      </w:r>
      <w:r>
        <w:t xml:space="preserve">former </w:t>
      </w:r>
      <w:r w:rsidRPr="00DB648C">
        <w:t xml:space="preserve">resident of Kosovo, currently living in Serbia </w:t>
      </w:r>
      <w:r>
        <w:t>proper</w:t>
      </w:r>
      <w:r w:rsidRPr="00DB648C">
        <w:t>.</w:t>
      </w:r>
    </w:p>
    <w:p w:rsidR="00930245" w:rsidRDefault="00930245" w:rsidP="00930245">
      <w:pPr>
        <w:ind w:left="360"/>
        <w:jc w:val="both"/>
      </w:pPr>
    </w:p>
    <w:p w:rsidR="00930245" w:rsidRPr="008F5BCA" w:rsidRDefault="00EA15E9" w:rsidP="00E025EE">
      <w:pPr>
        <w:numPr>
          <w:ilvl w:val="0"/>
          <w:numId w:val="2"/>
        </w:numPr>
        <w:tabs>
          <w:tab w:val="clear" w:pos="810"/>
          <w:tab w:val="num" w:pos="360"/>
        </w:tabs>
        <w:ind w:left="360"/>
        <w:jc w:val="both"/>
      </w:pPr>
      <w:r>
        <w:lastRenderedPageBreak/>
        <w:t>She</w:t>
      </w:r>
      <w:r w:rsidR="00930245">
        <w:t xml:space="preserve"> </w:t>
      </w:r>
      <w:r w:rsidR="00930245" w:rsidRPr="00962637">
        <w:t>informs the Panel that on 12 June 1999</w:t>
      </w:r>
      <w:r w:rsidR="00930245">
        <w:t xml:space="preserve"> her stepmother, </w:t>
      </w:r>
      <w:r w:rsidR="00930245" w:rsidRPr="00962637">
        <w:t xml:space="preserve">Mrs </w:t>
      </w:r>
      <w:proofErr w:type="spellStart"/>
      <w:r w:rsidR="00930245" w:rsidRPr="00962637">
        <w:t>Dar</w:t>
      </w:r>
      <w:r w:rsidR="00930245">
        <w:t>inka</w:t>
      </w:r>
      <w:proofErr w:type="spellEnd"/>
      <w:r w:rsidR="00930245" w:rsidRPr="00962637">
        <w:t xml:space="preserve"> </w:t>
      </w:r>
      <w:proofErr w:type="spellStart"/>
      <w:r w:rsidR="00930245" w:rsidRPr="00962637">
        <w:t>Šutaković</w:t>
      </w:r>
      <w:proofErr w:type="spellEnd"/>
      <w:r w:rsidR="00930245" w:rsidRPr="00962637">
        <w:t xml:space="preserve"> (case no. 72/09)</w:t>
      </w:r>
      <w:r w:rsidR="00930245">
        <w:t xml:space="preserve">, father, </w:t>
      </w:r>
      <w:r w:rsidR="00930245" w:rsidRPr="00962637">
        <w:t xml:space="preserve">Mr </w:t>
      </w:r>
      <w:proofErr w:type="spellStart"/>
      <w:r w:rsidR="00930245" w:rsidRPr="00962637">
        <w:t>Nedeljko</w:t>
      </w:r>
      <w:proofErr w:type="spellEnd"/>
      <w:r w:rsidR="00930245" w:rsidRPr="00962637">
        <w:t xml:space="preserve"> </w:t>
      </w:r>
      <w:proofErr w:type="spellStart"/>
      <w:r w:rsidR="00930245" w:rsidRPr="00962637">
        <w:t>Šutaković</w:t>
      </w:r>
      <w:proofErr w:type="spellEnd"/>
      <w:r w:rsidR="00930245" w:rsidRPr="00962637">
        <w:t xml:space="preserve"> (case no. 75/09), and </w:t>
      </w:r>
      <w:r w:rsidR="00A70075">
        <w:t>their</w:t>
      </w:r>
      <w:r w:rsidR="00930245">
        <w:t xml:space="preserve"> </w:t>
      </w:r>
      <w:r w:rsidR="00930245" w:rsidRPr="00962637">
        <w:t xml:space="preserve">three </w:t>
      </w:r>
      <w:r w:rsidR="00A70075">
        <w:t>sons</w:t>
      </w:r>
      <w:r w:rsidR="00930245" w:rsidRPr="00962637">
        <w:t xml:space="preserve">: </w:t>
      </w:r>
      <w:r w:rsidR="00A70075">
        <w:t xml:space="preserve">Mr </w:t>
      </w:r>
      <w:r w:rsidR="00A70075" w:rsidRPr="00962637">
        <w:t xml:space="preserve">Radovan </w:t>
      </w:r>
      <w:proofErr w:type="spellStart"/>
      <w:r w:rsidR="00A70075" w:rsidRPr="00962637">
        <w:t>Šutaković</w:t>
      </w:r>
      <w:proofErr w:type="spellEnd"/>
      <w:r w:rsidR="00A70075">
        <w:t xml:space="preserve">, 10 years old </w:t>
      </w:r>
      <w:r w:rsidR="00A70075" w:rsidRPr="00962637">
        <w:t>(case no. 73/09)</w:t>
      </w:r>
      <w:r w:rsidR="00A70075">
        <w:t>,</w:t>
      </w:r>
      <w:r w:rsidR="00A70075" w:rsidRPr="00A70075">
        <w:t xml:space="preserve"> </w:t>
      </w:r>
      <w:r w:rsidR="00A70075">
        <w:t xml:space="preserve">Mr </w:t>
      </w:r>
      <w:proofErr w:type="spellStart"/>
      <w:r w:rsidR="00A70075" w:rsidRPr="00962637">
        <w:t>Ðorđe</w:t>
      </w:r>
      <w:proofErr w:type="spellEnd"/>
      <w:r w:rsidR="00A70075" w:rsidRPr="00962637">
        <w:t xml:space="preserve"> </w:t>
      </w:r>
      <w:proofErr w:type="spellStart"/>
      <w:r w:rsidR="00A70075" w:rsidRPr="00962637">
        <w:t>Šutaković</w:t>
      </w:r>
      <w:proofErr w:type="spellEnd"/>
      <w:r w:rsidR="00A70075">
        <w:t>, 16 years old (</w:t>
      </w:r>
      <w:r w:rsidR="00A70075" w:rsidRPr="00962637">
        <w:t xml:space="preserve">case no. 74/09) </w:t>
      </w:r>
      <w:r w:rsidR="00A70075">
        <w:t xml:space="preserve">and Mr </w:t>
      </w:r>
      <w:proofErr w:type="spellStart"/>
      <w:r w:rsidR="00A70075">
        <w:t>Aleksandar</w:t>
      </w:r>
      <w:proofErr w:type="spellEnd"/>
      <w:r w:rsidR="00A70075">
        <w:t xml:space="preserve"> </w:t>
      </w:r>
      <w:proofErr w:type="spellStart"/>
      <w:r w:rsidR="00A70075">
        <w:t>Šutaković</w:t>
      </w:r>
      <w:proofErr w:type="spellEnd"/>
      <w:r w:rsidR="00A70075">
        <w:t xml:space="preserve">, 18 years old </w:t>
      </w:r>
      <w:r w:rsidR="00930245" w:rsidRPr="00962637">
        <w:t xml:space="preserve">(case no. 76/09) were abducted from their home in </w:t>
      </w:r>
      <w:proofErr w:type="spellStart"/>
      <w:r w:rsidR="00930245" w:rsidRPr="00962637">
        <w:t>Gjakovë</w:t>
      </w:r>
      <w:proofErr w:type="spellEnd"/>
      <w:r w:rsidR="00930245" w:rsidRPr="00962637">
        <w:rPr>
          <w:lang w:val="es-ES_tradnl"/>
        </w:rPr>
        <w:t>/</w:t>
      </w:r>
      <w:proofErr w:type="spellStart"/>
      <w:r w:rsidR="00930245" w:rsidRPr="00962637">
        <w:t>Đakovica</w:t>
      </w:r>
      <w:proofErr w:type="spellEnd"/>
      <w:r w:rsidR="00930245" w:rsidRPr="00962637">
        <w:t xml:space="preserve"> by members of the </w:t>
      </w:r>
      <w:r w:rsidR="00A8429D">
        <w:t>KLA</w:t>
      </w:r>
      <w:r w:rsidR="00930245" w:rsidRPr="008A7A5C">
        <w:t>.</w:t>
      </w:r>
      <w:r w:rsidR="00930245">
        <w:t xml:space="preserve"> </w:t>
      </w:r>
      <w:r w:rsidR="00930245" w:rsidRPr="008A7A5C">
        <w:t xml:space="preserve">Since that time whereabouts </w:t>
      </w:r>
      <w:r w:rsidR="00694110">
        <w:t xml:space="preserve">of them all </w:t>
      </w:r>
      <w:r w:rsidR="00930245" w:rsidRPr="008A7A5C">
        <w:t>have remained unknown.</w:t>
      </w:r>
    </w:p>
    <w:p w:rsidR="00930245" w:rsidRDefault="00930245" w:rsidP="00E025EE">
      <w:pPr>
        <w:tabs>
          <w:tab w:val="num" w:pos="360"/>
        </w:tabs>
        <w:ind w:left="360"/>
        <w:jc w:val="both"/>
      </w:pPr>
    </w:p>
    <w:p w:rsidR="00930245" w:rsidRDefault="00930245" w:rsidP="00E025EE">
      <w:pPr>
        <w:numPr>
          <w:ilvl w:val="0"/>
          <w:numId w:val="2"/>
        </w:numPr>
        <w:tabs>
          <w:tab w:val="clear" w:pos="810"/>
          <w:tab w:val="num" w:pos="360"/>
        </w:tabs>
        <w:ind w:left="360"/>
        <w:jc w:val="both"/>
      </w:pPr>
      <w:r w:rsidRPr="00FE2D02">
        <w:t>The complainant states that the</w:t>
      </w:r>
      <w:r w:rsidR="00A70075">
        <w:t>ir</w:t>
      </w:r>
      <w:r w:rsidRPr="00FE2D02">
        <w:t xml:space="preserve"> </w:t>
      </w:r>
      <w:r w:rsidR="00A70075">
        <w:t>abduction</w:t>
      </w:r>
      <w:r w:rsidRPr="00FE2D02">
        <w:t xml:space="preserve"> was reported to </w:t>
      </w:r>
      <w:r>
        <w:t>KFOR, UNMIK, the</w:t>
      </w:r>
      <w:r w:rsidRPr="00FE2D02">
        <w:t xml:space="preserve"> Yugoslav Red Cross</w:t>
      </w:r>
      <w:r>
        <w:t xml:space="preserve">, the Serbian Ministry of Internal Affairs, and other </w:t>
      </w:r>
      <w:proofErr w:type="spellStart"/>
      <w:r>
        <w:t>organisations</w:t>
      </w:r>
      <w:proofErr w:type="spellEnd"/>
      <w:r>
        <w:t>.</w:t>
      </w:r>
      <w:r w:rsidR="00A70075" w:rsidRPr="00A70075">
        <w:t xml:space="preserve"> </w:t>
      </w:r>
      <w:r w:rsidR="00382DFF">
        <w:t xml:space="preserve">She </w:t>
      </w:r>
      <w:r w:rsidR="00A70075">
        <w:t xml:space="preserve">also states </w:t>
      </w:r>
      <w:r w:rsidR="00A70075" w:rsidRPr="00673850">
        <w:t xml:space="preserve">that the matter was reported to the International Public Prosecutor in </w:t>
      </w:r>
      <w:proofErr w:type="spellStart"/>
      <w:r w:rsidR="00A70075" w:rsidRPr="00673850">
        <w:t>Prishtin</w:t>
      </w:r>
      <w:proofErr w:type="spellEnd"/>
      <w:r w:rsidR="00A70075" w:rsidRPr="00673850">
        <w:rPr>
          <w:lang w:val="ru-RU"/>
        </w:rPr>
        <w:t>ё</w:t>
      </w:r>
      <w:r w:rsidR="00A70075" w:rsidRPr="00673850">
        <w:t>/Priština, but presents</w:t>
      </w:r>
      <w:r w:rsidR="00A70075">
        <w:t xml:space="preserve"> no specific details in this regard.</w:t>
      </w:r>
    </w:p>
    <w:p w:rsidR="00A70075" w:rsidRDefault="00A70075" w:rsidP="00E025EE">
      <w:pPr>
        <w:pStyle w:val="ColorfulList-Accent11"/>
        <w:tabs>
          <w:tab w:val="num" w:pos="360"/>
        </w:tabs>
        <w:ind w:left="360"/>
      </w:pPr>
    </w:p>
    <w:p w:rsidR="00FD51B7" w:rsidRPr="00FD51B7" w:rsidRDefault="00CB2D5A" w:rsidP="00E025EE">
      <w:pPr>
        <w:widowControl w:val="0"/>
        <w:numPr>
          <w:ilvl w:val="0"/>
          <w:numId w:val="2"/>
        </w:numPr>
        <w:tabs>
          <w:tab w:val="clear" w:pos="810"/>
          <w:tab w:val="num" w:pos="360"/>
          <w:tab w:val="left" w:pos="1080"/>
        </w:tabs>
        <w:suppressAutoHyphens/>
        <w:ind w:left="360"/>
        <w:jc w:val="both"/>
        <w:rPr>
          <w:bCs/>
          <w:lang w:val="en-GB"/>
        </w:rPr>
      </w:pPr>
      <w:r>
        <w:t xml:space="preserve">Their </w:t>
      </w:r>
      <w:r w:rsidRPr="00FE2D02">
        <w:t>name</w:t>
      </w:r>
      <w:r>
        <w:t>s</w:t>
      </w:r>
      <w:r w:rsidRPr="00FE2D02">
        <w:t xml:space="preserve"> </w:t>
      </w:r>
      <w:r>
        <w:t xml:space="preserve">appear </w:t>
      </w:r>
      <w:r w:rsidRPr="00FE2D02">
        <w:t xml:space="preserve">in </w:t>
      </w:r>
      <w:r>
        <w:t xml:space="preserve">the list of persons which went missing in relation to </w:t>
      </w:r>
      <w:r w:rsidR="00694110">
        <w:t xml:space="preserve">the </w:t>
      </w:r>
      <w:r>
        <w:t>conflict in Kosovo, forwarded by the ICRC to UNMIK Police on 29 January 2002, as well as in the electronic</w:t>
      </w:r>
      <w:r w:rsidRPr="00FE2D02">
        <w:t xml:space="preserve"> database</w:t>
      </w:r>
      <w:r w:rsidRPr="001E7C6E">
        <w:t xml:space="preserve"> </w:t>
      </w:r>
      <w:r>
        <w:t>compiled</w:t>
      </w:r>
      <w:r w:rsidRPr="001E7C6E">
        <w:t xml:space="preserve"> by </w:t>
      </w:r>
      <w:r>
        <w:t xml:space="preserve">the </w:t>
      </w:r>
      <w:r w:rsidRPr="001E7C6E">
        <w:t>UNMIK O</w:t>
      </w:r>
      <w:r>
        <w:t>MPF</w:t>
      </w:r>
      <w:r>
        <w:rPr>
          <w:rStyle w:val="FootnoteReference"/>
          <w:bCs/>
          <w:lang w:val="en-GB"/>
        </w:rPr>
        <w:footnoteReference w:id="3"/>
      </w:r>
      <w:r>
        <w:t xml:space="preserve">. </w:t>
      </w:r>
      <w:r w:rsidR="00930245">
        <w:t xml:space="preserve">The </w:t>
      </w:r>
      <w:r w:rsidR="00930245" w:rsidRPr="00FE2D02">
        <w:t>ICRC tracing request</w:t>
      </w:r>
      <w:r w:rsidR="00930245">
        <w:t>s</w:t>
      </w:r>
      <w:r w:rsidR="00930245" w:rsidRPr="00FE2D02">
        <w:t xml:space="preserve"> for </w:t>
      </w:r>
      <w:r w:rsidR="00930245">
        <w:t xml:space="preserve">all </w:t>
      </w:r>
      <w:r w:rsidR="00382DFF">
        <w:t xml:space="preserve">five above-mentioned family members </w:t>
      </w:r>
      <w:r>
        <w:t xml:space="preserve">also </w:t>
      </w:r>
      <w:r w:rsidR="00930245" w:rsidRPr="00FE2D02">
        <w:t>remain open</w:t>
      </w:r>
      <w:r w:rsidR="00382DFF" w:rsidRPr="00380C57">
        <w:rPr>
          <w:rStyle w:val="FootnoteReference"/>
        </w:rPr>
        <w:footnoteReference w:id="4"/>
      </w:r>
      <w:r w:rsidR="00930245" w:rsidRPr="00FE2D02">
        <w:t>.</w:t>
      </w:r>
    </w:p>
    <w:p w:rsidR="00C0362D" w:rsidRDefault="00C0362D" w:rsidP="00E025EE">
      <w:pPr>
        <w:pStyle w:val="ColorfulList-Accent11"/>
        <w:tabs>
          <w:tab w:val="num" w:pos="360"/>
        </w:tabs>
        <w:ind w:left="360"/>
        <w:rPr>
          <w:bCs/>
          <w:lang w:val="en-GB"/>
        </w:rPr>
      </w:pPr>
    </w:p>
    <w:p w:rsidR="00FD51B7" w:rsidRPr="00EE6125" w:rsidRDefault="00382DFF" w:rsidP="00E025EE">
      <w:pPr>
        <w:widowControl w:val="0"/>
        <w:numPr>
          <w:ilvl w:val="0"/>
          <w:numId w:val="2"/>
        </w:numPr>
        <w:tabs>
          <w:tab w:val="clear" w:pos="810"/>
          <w:tab w:val="num" w:pos="360"/>
          <w:tab w:val="left" w:pos="1080"/>
        </w:tabs>
        <w:suppressAutoHyphens/>
        <w:ind w:left="360"/>
        <w:jc w:val="both"/>
        <w:rPr>
          <w:bCs/>
          <w:color w:val="000000"/>
          <w:lang w:val="en-GB"/>
        </w:rPr>
      </w:pPr>
      <w:bookmarkStart w:id="14" w:name="_Ref404694678"/>
      <w:r w:rsidRPr="00380C57">
        <w:rPr>
          <w:bCs/>
          <w:lang w:val="en-GB"/>
        </w:rPr>
        <w:t xml:space="preserve">The online list of missing persons </w:t>
      </w:r>
      <w:r w:rsidRPr="00EE6125">
        <w:rPr>
          <w:bCs/>
          <w:color w:val="000000"/>
          <w:lang w:val="en-GB"/>
        </w:rPr>
        <w:t>maintained by the ICMP</w:t>
      </w:r>
      <w:r w:rsidRPr="00EE6125">
        <w:rPr>
          <w:rStyle w:val="FootnoteReference"/>
          <w:color w:val="000000"/>
        </w:rPr>
        <w:footnoteReference w:id="5"/>
      </w:r>
      <w:r w:rsidRPr="00EE6125">
        <w:rPr>
          <w:bCs/>
          <w:color w:val="000000"/>
          <w:lang w:val="en-GB"/>
        </w:rPr>
        <w:t xml:space="preserve"> </w:t>
      </w:r>
      <w:r w:rsidR="0094545C" w:rsidRPr="00EE6125">
        <w:rPr>
          <w:bCs/>
          <w:color w:val="000000"/>
          <w:lang w:val="en-GB"/>
        </w:rPr>
        <w:t>informs in relation to all of them that “DNA match not found.</w:t>
      </w:r>
      <w:r w:rsidR="0094545C" w:rsidRPr="00EE6125">
        <w:rPr>
          <w:color w:val="000000"/>
        </w:rPr>
        <w:t>” The entries in their regard slightly differ in the following:</w:t>
      </w:r>
      <w:bookmarkEnd w:id="14"/>
    </w:p>
    <w:p w:rsidR="00FD51B7" w:rsidRDefault="00FD51B7" w:rsidP="00FD51B7">
      <w:pPr>
        <w:pStyle w:val="ColorfulList-Accent11"/>
        <w:rPr>
          <w:bCs/>
          <w:lang w:val="en-GB"/>
        </w:rPr>
      </w:pPr>
    </w:p>
    <w:p w:rsidR="00FD51B7" w:rsidRDefault="00FD51B7" w:rsidP="00694110">
      <w:pPr>
        <w:pStyle w:val="ColorfulList-Accent11"/>
        <w:widowControl w:val="0"/>
        <w:numPr>
          <w:ilvl w:val="0"/>
          <w:numId w:val="16"/>
        </w:numPr>
        <w:tabs>
          <w:tab w:val="left" w:pos="900"/>
        </w:tabs>
        <w:ind w:left="900" w:right="270"/>
        <w:jc w:val="both"/>
        <w:rPr>
          <w:bCs/>
          <w:lang w:val="en-GB"/>
        </w:rPr>
      </w:pPr>
      <w:r w:rsidRPr="00FD51B7">
        <w:rPr>
          <w:bCs/>
          <w:lang w:val="en-GB"/>
        </w:rPr>
        <w:t xml:space="preserve">for Mrs </w:t>
      </w:r>
      <w:proofErr w:type="spellStart"/>
      <w:r w:rsidRPr="00FD51B7">
        <w:rPr>
          <w:bCs/>
          <w:lang w:val="en-GB"/>
        </w:rPr>
        <w:t>Darinka</w:t>
      </w:r>
      <w:proofErr w:type="spellEnd"/>
      <w:r w:rsidRPr="00FD51B7">
        <w:rPr>
          <w:bCs/>
          <w:lang w:val="en-GB"/>
        </w:rPr>
        <w:t xml:space="preserve"> </w:t>
      </w:r>
      <w:proofErr w:type="spellStart"/>
      <w:r w:rsidRPr="00FD51B7">
        <w:rPr>
          <w:bCs/>
          <w:lang w:val="en-GB"/>
        </w:rPr>
        <w:t>Šutaković</w:t>
      </w:r>
      <w:proofErr w:type="spellEnd"/>
      <w:r w:rsidR="00382DFF" w:rsidRPr="00FD51B7">
        <w:rPr>
          <w:bCs/>
          <w:lang w:val="en-GB"/>
        </w:rPr>
        <w:t xml:space="preserve">: </w:t>
      </w:r>
      <w:r w:rsidRPr="00FD51B7">
        <w:rPr>
          <w:bCs/>
          <w:lang w:val="en-GB"/>
        </w:rPr>
        <w:t>“</w:t>
      </w:r>
      <w:r w:rsidR="00382DFF" w:rsidRPr="00FD51B7">
        <w:rPr>
          <w:bCs/>
          <w:lang w:val="en-GB"/>
        </w:rPr>
        <w:t>Reported date of disappearance: 1</w:t>
      </w:r>
      <w:r w:rsidRPr="00FD51B7">
        <w:rPr>
          <w:bCs/>
          <w:lang w:val="en-GB"/>
        </w:rPr>
        <w:t>1</w:t>
      </w:r>
      <w:r w:rsidR="00382DFF" w:rsidRPr="00FD51B7">
        <w:rPr>
          <w:bCs/>
          <w:lang w:val="en-GB"/>
        </w:rPr>
        <w:t xml:space="preserve"> June 1999</w:t>
      </w:r>
      <w:r w:rsidRPr="00FD51B7">
        <w:rPr>
          <w:bCs/>
          <w:lang w:val="en-GB"/>
        </w:rPr>
        <w:t>” and</w:t>
      </w:r>
      <w:r w:rsidR="00382DFF" w:rsidRPr="00FD51B7">
        <w:rPr>
          <w:bCs/>
          <w:lang w:val="en-GB"/>
        </w:rPr>
        <w:t xml:space="preserve"> “</w:t>
      </w:r>
      <w:r w:rsidRPr="00FD51B7">
        <w:rPr>
          <w:bCs/>
          <w:lang w:val="en-GB"/>
        </w:rPr>
        <w:t>Not Enough</w:t>
      </w:r>
      <w:r w:rsidR="00382DFF" w:rsidRPr="00FD51B7">
        <w:rPr>
          <w:bCs/>
          <w:lang w:val="en-GB"/>
        </w:rPr>
        <w:t xml:space="preserve"> Reference Samples Collected”</w:t>
      </w:r>
      <w:r w:rsidRPr="00FD51B7">
        <w:rPr>
          <w:bCs/>
          <w:lang w:val="en-GB"/>
        </w:rPr>
        <w:t>;</w:t>
      </w:r>
    </w:p>
    <w:p w:rsidR="00FD51B7" w:rsidRDefault="00FD51B7" w:rsidP="00694110">
      <w:pPr>
        <w:pStyle w:val="ColorfulList-Accent11"/>
        <w:widowControl w:val="0"/>
        <w:numPr>
          <w:ilvl w:val="0"/>
          <w:numId w:val="16"/>
        </w:numPr>
        <w:tabs>
          <w:tab w:val="left" w:pos="900"/>
        </w:tabs>
        <w:ind w:left="900" w:right="270"/>
        <w:jc w:val="both"/>
        <w:rPr>
          <w:bCs/>
          <w:lang w:val="en-GB"/>
        </w:rPr>
      </w:pPr>
      <w:r w:rsidRPr="00FD51B7">
        <w:rPr>
          <w:bCs/>
          <w:lang w:val="en-GB"/>
        </w:rPr>
        <w:t xml:space="preserve">for Mr </w:t>
      </w:r>
      <w:proofErr w:type="spellStart"/>
      <w:r w:rsidRPr="00FD51B7">
        <w:rPr>
          <w:bCs/>
          <w:lang w:val="en-GB"/>
        </w:rPr>
        <w:t>Nedeljko</w:t>
      </w:r>
      <w:proofErr w:type="spellEnd"/>
      <w:r w:rsidRPr="00FD51B7">
        <w:rPr>
          <w:bCs/>
          <w:lang w:val="en-GB"/>
        </w:rPr>
        <w:t xml:space="preserve"> </w:t>
      </w:r>
      <w:proofErr w:type="spellStart"/>
      <w:r w:rsidRPr="00FD51B7">
        <w:rPr>
          <w:bCs/>
          <w:lang w:val="en-GB"/>
        </w:rPr>
        <w:t>Šutaković</w:t>
      </w:r>
      <w:proofErr w:type="spellEnd"/>
      <w:r w:rsidRPr="00FD51B7">
        <w:rPr>
          <w:bCs/>
          <w:lang w:val="en-GB"/>
        </w:rPr>
        <w:t>: “Reported date of disappearance: 1 June 1999” and “Sufficient Reference Samples Collected”;</w:t>
      </w:r>
    </w:p>
    <w:p w:rsidR="00FD51B7" w:rsidRPr="0094545C" w:rsidRDefault="00FD51B7" w:rsidP="00694110">
      <w:pPr>
        <w:pStyle w:val="ColorfulList-Accent11"/>
        <w:widowControl w:val="0"/>
        <w:numPr>
          <w:ilvl w:val="0"/>
          <w:numId w:val="16"/>
        </w:numPr>
        <w:tabs>
          <w:tab w:val="left" w:pos="900"/>
        </w:tabs>
        <w:ind w:left="900" w:right="270"/>
        <w:jc w:val="both"/>
        <w:rPr>
          <w:bCs/>
          <w:lang w:val="en-GB"/>
        </w:rPr>
      </w:pPr>
      <w:proofErr w:type="gramStart"/>
      <w:r w:rsidRPr="0094545C">
        <w:rPr>
          <w:bCs/>
          <w:lang w:val="en-GB"/>
        </w:rPr>
        <w:t>for</w:t>
      </w:r>
      <w:proofErr w:type="gramEnd"/>
      <w:r w:rsidRPr="0094545C">
        <w:rPr>
          <w:bCs/>
          <w:lang w:val="en-GB"/>
        </w:rPr>
        <w:t xml:space="preserve"> Mr </w:t>
      </w:r>
      <w:r w:rsidRPr="00962637">
        <w:t>Radovan</w:t>
      </w:r>
      <w:r>
        <w:rPr>
          <w:rStyle w:val="FootnoteReference"/>
        </w:rPr>
        <w:footnoteReference w:id="6"/>
      </w:r>
      <w:r w:rsidRPr="00962637">
        <w:t xml:space="preserve"> </w:t>
      </w:r>
      <w:proofErr w:type="spellStart"/>
      <w:r w:rsidRPr="0094545C">
        <w:rPr>
          <w:bCs/>
          <w:lang w:val="en-GB"/>
        </w:rPr>
        <w:t>Šutaković</w:t>
      </w:r>
      <w:proofErr w:type="spellEnd"/>
      <w:r w:rsidR="0094545C" w:rsidRPr="0094545C">
        <w:rPr>
          <w:bCs/>
          <w:lang w:val="en-GB"/>
        </w:rPr>
        <w:t xml:space="preserve">, Mr </w:t>
      </w:r>
      <w:proofErr w:type="spellStart"/>
      <w:r w:rsidR="0094545C" w:rsidRPr="00962637">
        <w:t>Ðorđe</w:t>
      </w:r>
      <w:proofErr w:type="spellEnd"/>
      <w:r w:rsidR="0094545C" w:rsidRPr="00962637">
        <w:t xml:space="preserve"> </w:t>
      </w:r>
      <w:proofErr w:type="spellStart"/>
      <w:r w:rsidR="0094545C" w:rsidRPr="0094545C">
        <w:rPr>
          <w:bCs/>
          <w:lang w:val="en-GB"/>
        </w:rPr>
        <w:t>Šutaković</w:t>
      </w:r>
      <w:proofErr w:type="spellEnd"/>
      <w:r w:rsidR="0094545C" w:rsidRPr="0094545C">
        <w:rPr>
          <w:bCs/>
          <w:lang w:val="en-GB"/>
        </w:rPr>
        <w:t xml:space="preserve"> and Mr </w:t>
      </w:r>
      <w:proofErr w:type="spellStart"/>
      <w:r w:rsidR="0094545C">
        <w:t>Aleksandar</w:t>
      </w:r>
      <w:proofErr w:type="spellEnd"/>
      <w:r w:rsidR="0094545C">
        <w:t xml:space="preserve"> </w:t>
      </w:r>
      <w:proofErr w:type="spellStart"/>
      <w:r w:rsidR="0094545C" w:rsidRPr="0094545C">
        <w:rPr>
          <w:bCs/>
          <w:lang w:val="en-GB"/>
        </w:rPr>
        <w:t>Šutaković</w:t>
      </w:r>
      <w:proofErr w:type="spellEnd"/>
      <w:r w:rsidR="0094545C" w:rsidRPr="0094545C">
        <w:rPr>
          <w:bCs/>
          <w:lang w:val="en-GB"/>
        </w:rPr>
        <w:t>:</w:t>
      </w:r>
      <w:r w:rsidRPr="0094545C">
        <w:rPr>
          <w:bCs/>
          <w:lang w:val="en-GB"/>
        </w:rPr>
        <w:t xml:space="preserve"> “Reported date of disappearance: 1 June 1999” and “Not Enou</w:t>
      </w:r>
      <w:r w:rsidR="0094545C" w:rsidRPr="0094545C">
        <w:rPr>
          <w:bCs/>
          <w:lang w:val="en-GB"/>
        </w:rPr>
        <w:t>gh Reference Samples Collected”</w:t>
      </w:r>
      <w:r w:rsidR="0094545C">
        <w:rPr>
          <w:bCs/>
          <w:lang w:val="en-GB"/>
        </w:rPr>
        <w:t>.</w:t>
      </w:r>
    </w:p>
    <w:p w:rsidR="00930245" w:rsidRDefault="00FD51B7" w:rsidP="00610E0F">
      <w:pPr>
        <w:widowControl w:val="0"/>
        <w:tabs>
          <w:tab w:val="left" w:pos="720"/>
        </w:tabs>
        <w:jc w:val="both"/>
        <w:rPr>
          <w:i/>
          <w:lang w:val="en-GB"/>
        </w:rPr>
      </w:pPr>
      <w:r w:rsidRPr="00FD51B7">
        <w:rPr>
          <w:bCs/>
          <w:lang w:val="en-GB"/>
        </w:rPr>
        <w:t xml:space="preserve"> </w:t>
      </w:r>
    </w:p>
    <w:p w:rsidR="00672C40" w:rsidRPr="00610E0F" w:rsidRDefault="00672C40" w:rsidP="00672C40">
      <w:pPr>
        <w:numPr>
          <w:ilvl w:val="1"/>
          <w:numId w:val="1"/>
        </w:numPr>
        <w:tabs>
          <w:tab w:val="clear" w:pos="360"/>
          <w:tab w:val="num" w:pos="270"/>
        </w:tabs>
        <w:ind w:left="270" w:hanging="270"/>
        <w:jc w:val="both"/>
        <w:rPr>
          <w:i/>
          <w:lang w:val="en-GB"/>
        </w:rPr>
      </w:pPr>
      <w:r w:rsidRPr="00610E0F">
        <w:rPr>
          <w:i/>
          <w:lang w:val="en-GB"/>
        </w:rPr>
        <w:t>Abduction</w:t>
      </w:r>
      <w:r w:rsidRPr="00610E0F">
        <w:rPr>
          <w:bCs/>
          <w:i/>
          <w:lang w:val="en-GB"/>
        </w:rPr>
        <w:t xml:space="preserve"> </w:t>
      </w:r>
      <w:r w:rsidR="00610E0F">
        <w:rPr>
          <w:bCs/>
          <w:i/>
          <w:lang w:val="en-GB"/>
        </w:rPr>
        <w:t xml:space="preserve">and </w:t>
      </w:r>
      <w:r w:rsidR="00610E0F" w:rsidRPr="00694110">
        <w:rPr>
          <w:bCs/>
          <w:i/>
          <w:lang w:val="en-GB"/>
        </w:rPr>
        <w:t xml:space="preserve">disappearance </w:t>
      </w:r>
      <w:r w:rsidRPr="00694110">
        <w:rPr>
          <w:bCs/>
          <w:i/>
          <w:lang w:val="en-GB"/>
        </w:rPr>
        <w:t xml:space="preserve">of </w:t>
      </w:r>
      <w:r w:rsidRPr="00694110">
        <w:rPr>
          <w:i/>
        </w:rPr>
        <w:t xml:space="preserve">Mr </w:t>
      </w:r>
      <w:proofErr w:type="spellStart"/>
      <w:r w:rsidR="00610E0F" w:rsidRPr="00694110">
        <w:rPr>
          <w:i/>
        </w:rPr>
        <w:t>Milenko</w:t>
      </w:r>
      <w:proofErr w:type="spellEnd"/>
      <w:r w:rsidR="00610E0F" w:rsidRPr="00694110">
        <w:rPr>
          <w:i/>
        </w:rPr>
        <w:t xml:space="preserve"> </w:t>
      </w:r>
      <w:proofErr w:type="spellStart"/>
      <w:r w:rsidR="00610E0F" w:rsidRPr="00694110">
        <w:rPr>
          <w:i/>
        </w:rPr>
        <w:t>Kabaš</w:t>
      </w:r>
      <w:proofErr w:type="spellEnd"/>
      <w:r w:rsidR="00610E0F" w:rsidRPr="00610E0F">
        <w:rPr>
          <w:i/>
        </w:rPr>
        <w:t xml:space="preserve"> </w:t>
      </w:r>
      <w:r w:rsidRPr="00610E0F">
        <w:rPr>
          <w:i/>
        </w:rPr>
        <w:t>(</w:t>
      </w:r>
      <w:r w:rsidRPr="00610E0F">
        <w:rPr>
          <w:i/>
          <w:lang w:val="en-GB"/>
        </w:rPr>
        <w:t xml:space="preserve">case no. </w:t>
      </w:r>
      <w:r w:rsidR="00610E0F">
        <w:rPr>
          <w:i/>
          <w:lang w:val="en-GB"/>
        </w:rPr>
        <w:t>78</w:t>
      </w:r>
      <w:r w:rsidRPr="00610E0F">
        <w:rPr>
          <w:i/>
          <w:lang w:val="en-GB"/>
        </w:rPr>
        <w:t>/09)</w:t>
      </w:r>
    </w:p>
    <w:p w:rsidR="00672C40" w:rsidRDefault="00672C40" w:rsidP="00672C40">
      <w:pPr>
        <w:jc w:val="both"/>
        <w:rPr>
          <w:lang w:val="en-GB"/>
        </w:rPr>
      </w:pPr>
    </w:p>
    <w:p w:rsidR="00CE57B0" w:rsidRDefault="00CE57B0" w:rsidP="00E025EE">
      <w:pPr>
        <w:numPr>
          <w:ilvl w:val="0"/>
          <w:numId w:val="2"/>
        </w:numPr>
        <w:tabs>
          <w:tab w:val="clear" w:pos="810"/>
          <w:tab w:val="num" w:pos="360"/>
        </w:tabs>
        <w:ind w:left="360"/>
        <w:jc w:val="both"/>
      </w:pPr>
      <w:r>
        <w:t xml:space="preserve">Ms </w:t>
      </w:r>
      <w:proofErr w:type="spellStart"/>
      <w:r>
        <w:t>Rosanda</w:t>
      </w:r>
      <w:proofErr w:type="spellEnd"/>
      <w:r>
        <w:t xml:space="preserve"> </w:t>
      </w:r>
      <w:proofErr w:type="spellStart"/>
      <w:r>
        <w:t>Kabaš</w:t>
      </w:r>
      <w:proofErr w:type="spellEnd"/>
      <w:r w:rsidR="00EA15E9">
        <w:t>, the second complainant,</w:t>
      </w:r>
      <w:r>
        <w:t xml:space="preserve"> </w:t>
      </w:r>
      <w:r w:rsidR="00610E0F" w:rsidRPr="00C2288F">
        <w:t>states that</w:t>
      </w:r>
      <w:r>
        <w:t xml:space="preserve"> her brother,</w:t>
      </w:r>
      <w:r w:rsidR="00610E0F" w:rsidRPr="00C2288F">
        <w:t xml:space="preserve"> Mr </w:t>
      </w:r>
      <w:proofErr w:type="spellStart"/>
      <w:r w:rsidRPr="00CE57B0">
        <w:t>Milenko</w:t>
      </w:r>
      <w:proofErr w:type="spellEnd"/>
      <w:r w:rsidRPr="00610E0F">
        <w:rPr>
          <w:i/>
        </w:rPr>
        <w:t xml:space="preserve"> </w:t>
      </w:r>
      <w:proofErr w:type="spellStart"/>
      <w:r w:rsidR="00610E0F" w:rsidRPr="00C2288F">
        <w:t>Kabaš</w:t>
      </w:r>
      <w:proofErr w:type="spellEnd"/>
      <w:r>
        <w:t xml:space="preserve"> (or </w:t>
      </w:r>
      <w:proofErr w:type="spellStart"/>
      <w:r>
        <w:t>Kabaši</w:t>
      </w:r>
      <w:proofErr w:type="spellEnd"/>
      <w:r w:rsidR="00A8429D">
        <w:t xml:space="preserve">, </w:t>
      </w:r>
      <w:proofErr w:type="spellStart"/>
      <w:r w:rsidR="00A8429D">
        <w:t>Kabashi</w:t>
      </w:r>
      <w:proofErr w:type="spellEnd"/>
      <w:r>
        <w:t>),</w:t>
      </w:r>
      <w:r w:rsidR="00610E0F" w:rsidRPr="00C2288F">
        <w:t xml:space="preserve"> was abducted from </w:t>
      </w:r>
      <w:r w:rsidR="00610E0F">
        <w:t xml:space="preserve">the complainant’s </w:t>
      </w:r>
      <w:r w:rsidR="00610E0F" w:rsidRPr="00C2288F">
        <w:t xml:space="preserve">apartment in </w:t>
      </w:r>
      <w:proofErr w:type="spellStart"/>
      <w:r w:rsidR="00610E0F" w:rsidRPr="00C2288F">
        <w:rPr>
          <w:lang w:val="es-ES_tradnl"/>
        </w:rPr>
        <w:t>Gjakovë</w:t>
      </w:r>
      <w:proofErr w:type="spellEnd"/>
      <w:r w:rsidR="00610E0F" w:rsidRPr="00C2288F">
        <w:rPr>
          <w:lang w:val="es-ES_tradnl"/>
        </w:rPr>
        <w:t>/</w:t>
      </w:r>
      <w:proofErr w:type="spellStart"/>
      <w:r w:rsidR="00610E0F" w:rsidRPr="00C2288F">
        <w:t>Đakovica</w:t>
      </w:r>
      <w:proofErr w:type="spellEnd"/>
      <w:r>
        <w:t xml:space="preserve">, in </w:t>
      </w:r>
      <w:r w:rsidR="00610E0F">
        <w:t xml:space="preserve">June </w:t>
      </w:r>
      <w:r w:rsidR="00610E0F" w:rsidRPr="00C2288F">
        <w:rPr>
          <w:bCs/>
        </w:rPr>
        <w:t>1999.</w:t>
      </w:r>
      <w:r w:rsidR="00610E0F" w:rsidRPr="00C2288F">
        <w:t xml:space="preserve"> Since that time </w:t>
      </w:r>
      <w:r>
        <w:t>his</w:t>
      </w:r>
      <w:r w:rsidR="00610E0F" w:rsidRPr="00C2288F">
        <w:t xml:space="preserve"> whereabouts have remained unknown.</w:t>
      </w:r>
    </w:p>
    <w:p w:rsidR="00CE57B0" w:rsidRDefault="00CE57B0" w:rsidP="00CE57B0">
      <w:pPr>
        <w:ind w:left="360"/>
        <w:jc w:val="both"/>
      </w:pPr>
    </w:p>
    <w:p w:rsidR="00610E0F" w:rsidRPr="00C2288F" w:rsidRDefault="00CE57B0" w:rsidP="00E025EE">
      <w:pPr>
        <w:numPr>
          <w:ilvl w:val="0"/>
          <w:numId w:val="2"/>
        </w:numPr>
        <w:tabs>
          <w:tab w:val="clear" w:pos="810"/>
          <w:tab w:val="num" w:pos="360"/>
        </w:tabs>
        <w:ind w:left="360"/>
        <w:jc w:val="both"/>
      </w:pPr>
      <w:r>
        <w:t>The complainant adds that a certain Kosovo Albanian, F.D.,</w:t>
      </w:r>
      <w:r w:rsidRPr="00C2288F">
        <w:t xml:space="preserve"> </w:t>
      </w:r>
      <w:r>
        <w:t>was involved in the abduction of her brother.</w:t>
      </w:r>
    </w:p>
    <w:p w:rsidR="00610E0F" w:rsidRPr="00FE2D02" w:rsidRDefault="00610E0F" w:rsidP="00E025EE">
      <w:pPr>
        <w:pStyle w:val="ColorfulList-Accent11"/>
        <w:tabs>
          <w:tab w:val="num" w:pos="360"/>
        </w:tabs>
        <w:ind w:left="360"/>
      </w:pPr>
    </w:p>
    <w:p w:rsidR="00610E0F" w:rsidRDefault="00CE57B0" w:rsidP="00E025EE">
      <w:pPr>
        <w:numPr>
          <w:ilvl w:val="0"/>
          <w:numId w:val="2"/>
        </w:numPr>
        <w:tabs>
          <w:tab w:val="clear" w:pos="810"/>
          <w:tab w:val="num" w:pos="360"/>
        </w:tabs>
        <w:ind w:left="360"/>
        <w:jc w:val="both"/>
      </w:pPr>
      <w:r>
        <w:t xml:space="preserve">Ms </w:t>
      </w:r>
      <w:proofErr w:type="spellStart"/>
      <w:r>
        <w:t>Kabaš</w:t>
      </w:r>
      <w:proofErr w:type="spellEnd"/>
      <w:r>
        <w:t xml:space="preserve"> </w:t>
      </w:r>
      <w:r w:rsidR="00610E0F" w:rsidRPr="00FE2D02">
        <w:t xml:space="preserve">states that the </w:t>
      </w:r>
      <w:r>
        <w:t>abduction</w:t>
      </w:r>
      <w:r w:rsidR="00610E0F" w:rsidRPr="00FE2D02">
        <w:t xml:space="preserve"> was reported to the </w:t>
      </w:r>
      <w:r w:rsidR="00610E0F">
        <w:t xml:space="preserve">Italian KFOR, the </w:t>
      </w:r>
      <w:r w:rsidR="00610E0F" w:rsidRPr="00FE2D02">
        <w:t>ICRC</w:t>
      </w:r>
      <w:r w:rsidR="00610E0F">
        <w:t>, the</w:t>
      </w:r>
      <w:r w:rsidR="00610E0F" w:rsidRPr="00FE2D02">
        <w:t xml:space="preserve"> Yugoslav Red Cross</w:t>
      </w:r>
      <w:r w:rsidR="00610E0F">
        <w:t xml:space="preserve"> and unidentified Serbian state institutions.</w:t>
      </w:r>
      <w:r w:rsidR="00405253" w:rsidRPr="00405253">
        <w:t xml:space="preserve"> </w:t>
      </w:r>
      <w:r>
        <w:t>She</w:t>
      </w:r>
      <w:r w:rsidR="00405253">
        <w:t xml:space="preserve"> </w:t>
      </w:r>
      <w:r>
        <w:t xml:space="preserve">likewise states that </w:t>
      </w:r>
      <w:r w:rsidR="00405253" w:rsidRPr="00673850">
        <w:t xml:space="preserve">the </w:t>
      </w:r>
      <w:r w:rsidR="00405253" w:rsidRPr="00673850">
        <w:lastRenderedPageBreak/>
        <w:t xml:space="preserve">matter was reported to the International Public Prosecutor in </w:t>
      </w:r>
      <w:proofErr w:type="spellStart"/>
      <w:r w:rsidR="00405253" w:rsidRPr="00673850">
        <w:t>Prishtin</w:t>
      </w:r>
      <w:proofErr w:type="spellEnd"/>
      <w:r w:rsidR="00405253" w:rsidRPr="00673850">
        <w:rPr>
          <w:lang w:val="ru-RU"/>
        </w:rPr>
        <w:t>ё</w:t>
      </w:r>
      <w:r w:rsidR="00405253" w:rsidRPr="00673850">
        <w:t>/Priština, but presents</w:t>
      </w:r>
      <w:r w:rsidR="00405253">
        <w:t xml:space="preserve"> no specific details.</w:t>
      </w:r>
    </w:p>
    <w:p w:rsidR="006A79D9" w:rsidRDefault="006A79D9" w:rsidP="00E025EE">
      <w:pPr>
        <w:pStyle w:val="ColorfulList-Accent11"/>
        <w:tabs>
          <w:tab w:val="num" w:pos="360"/>
        </w:tabs>
        <w:ind w:left="360"/>
      </w:pPr>
    </w:p>
    <w:p w:rsidR="006A79D9" w:rsidRPr="003F56FC" w:rsidRDefault="006A79D9" w:rsidP="00E025EE">
      <w:pPr>
        <w:numPr>
          <w:ilvl w:val="0"/>
          <w:numId w:val="2"/>
        </w:numPr>
        <w:tabs>
          <w:tab w:val="clear" w:pos="810"/>
          <w:tab w:val="num" w:pos="360"/>
        </w:tabs>
        <w:ind w:left="360"/>
        <w:jc w:val="both"/>
        <w:rPr>
          <w:b/>
        </w:rPr>
      </w:pPr>
      <w:bookmarkStart w:id="15" w:name="_Ref404246202"/>
      <w:r>
        <w:t xml:space="preserve">Ms </w:t>
      </w:r>
      <w:proofErr w:type="spellStart"/>
      <w:r>
        <w:t>Kabaš</w:t>
      </w:r>
      <w:proofErr w:type="spellEnd"/>
      <w:r>
        <w:t xml:space="preserve"> had also given a statement to the Humanitarian Law Center</w:t>
      </w:r>
      <w:r w:rsidR="003F56FC">
        <w:t xml:space="preserve"> (HLC)</w:t>
      </w:r>
      <w:r>
        <w:t xml:space="preserve">, </w:t>
      </w:r>
      <w:r w:rsidR="003F56FC">
        <w:t>which reads as follows:</w:t>
      </w:r>
      <w:bookmarkEnd w:id="15"/>
      <w:r w:rsidR="003F56FC">
        <w:t xml:space="preserve"> </w:t>
      </w:r>
    </w:p>
    <w:p w:rsidR="00051EBE" w:rsidRDefault="00051EBE" w:rsidP="003F56FC">
      <w:pPr>
        <w:pStyle w:val="ColorfulList-Accent11"/>
        <w:ind w:right="270"/>
        <w:jc w:val="both"/>
      </w:pPr>
    </w:p>
    <w:p w:rsidR="006A79D9" w:rsidRDefault="003F56FC" w:rsidP="003F56FC">
      <w:pPr>
        <w:pStyle w:val="ColorfulList-Accent11"/>
        <w:ind w:right="270"/>
        <w:jc w:val="both"/>
      </w:pPr>
      <w:r w:rsidRPr="003F56FC">
        <w:t>“</w:t>
      </w:r>
      <w:proofErr w:type="spellStart"/>
      <w:r w:rsidR="006A79D9" w:rsidRPr="006A79D9">
        <w:rPr>
          <w:b/>
        </w:rPr>
        <w:t>Kabaš</w:t>
      </w:r>
      <w:proofErr w:type="spellEnd"/>
      <w:r w:rsidR="006A79D9" w:rsidRPr="006A79D9">
        <w:rPr>
          <w:b/>
        </w:rPr>
        <w:t xml:space="preserve">, </w:t>
      </w:r>
      <w:proofErr w:type="spellStart"/>
      <w:r w:rsidR="006A79D9" w:rsidRPr="006A79D9">
        <w:rPr>
          <w:b/>
        </w:rPr>
        <w:t>Milenko</w:t>
      </w:r>
      <w:proofErr w:type="spellEnd"/>
      <w:r w:rsidR="006A79D9" w:rsidRPr="006A79D9">
        <w:rPr>
          <w:b/>
        </w:rPr>
        <w:t xml:space="preserve"> (</w:t>
      </w:r>
      <w:proofErr w:type="spellStart"/>
      <w:r w:rsidR="006A79D9" w:rsidRPr="006A79D9">
        <w:rPr>
          <w:b/>
        </w:rPr>
        <w:t>Kabash</w:t>
      </w:r>
      <w:proofErr w:type="spellEnd"/>
      <w:r w:rsidR="006A79D9" w:rsidRPr="006A79D9">
        <w:rPr>
          <w:b/>
        </w:rPr>
        <w:t xml:space="preserve">, </w:t>
      </w:r>
      <w:proofErr w:type="spellStart"/>
      <w:r w:rsidR="006A79D9" w:rsidRPr="006A79D9">
        <w:rPr>
          <w:b/>
        </w:rPr>
        <w:t>Milenko</w:t>
      </w:r>
      <w:proofErr w:type="spellEnd"/>
      <w:r w:rsidR="006A79D9" w:rsidRPr="006A79D9">
        <w:rPr>
          <w:b/>
        </w:rPr>
        <w:t>)</w:t>
      </w:r>
      <w:r w:rsidR="006A79D9">
        <w:t xml:space="preserve"> (M, 41), mixed Albanian/Serb parentage, from </w:t>
      </w:r>
      <w:proofErr w:type="spellStart"/>
      <w:r w:rsidR="006A79D9">
        <w:t>Djakovica</w:t>
      </w:r>
      <w:proofErr w:type="spellEnd"/>
      <w:r w:rsidR="006A79D9">
        <w:t xml:space="preserve"> – abducted by the KLA on 25 June 1999 from his sister’s apartment in </w:t>
      </w:r>
      <w:proofErr w:type="spellStart"/>
      <w:r w:rsidR="006A79D9">
        <w:t>Djakovica</w:t>
      </w:r>
      <w:proofErr w:type="spellEnd"/>
      <w:r w:rsidR="006A79D9">
        <w:t xml:space="preserve">. </w:t>
      </w:r>
    </w:p>
    <w:p w:rsidR="006A79D9" w:rsidRDefault="006A79D9" w:rsidP="006A79D9"/>
    <w:p w:rsidR="006A79D9" w:rsidRPr="00A8429D" w:rsidRDefault="006A79D9" w:rsidP="003F56FC">
      <w:pPr>
        <w:pStyle w:val="ColorfulList-Accent11"/>
        <w:ind w:right="270"/>
        <w:jc w:val="both"/>
      </w:pPr>
      <w:proofErr w:type="spellStart"/>
      <w:r>
        <w:t>Kabaš’s</w:t>
      </w:r>
      <w:proofErr w:type="spellEnd"/>
      <w:r>
        <w:t xml:space="preserve"> sister recounted that KLA members came to the apartment of her neighbors on 25 June and started searching it. She went to see what was going on. The KLA men, who were in civilian clothes, seized the neighbor’s weapons and left. While she was still with the neighbors, she heard a noise from her own fifth floor. She returned to her apartment and saw that the door was open and her brother was no longer there. Through the window, she saw three KLA members in camouflage uniforms leading away her brother, who was holding a bloody towel to the left side of his face. She identified one of the KLA men as Faton. At gunpoint, the KLA men forced </w:t>
      </w:r>
      <w:proofErr w:type="spellStart"/>
      <w:r>
        <w:t>Kabaš</w:t>
      </w:r>
      <w:proofErr w:type="spellEnd"/>
      <w:r>
        <w:t xml:space="preserve"> to put his hands against the wall, searched him, bundled him into a car and drove away. When she went downstairs, an Albanian neighbor told her that her brother had resisted the KLA men and was wounded in the left ear, and that he had tossed him a towel to </w:t>
      </w:r>
      <w:r w:rsidRPr="00A8429D">
        <w:t xml:space="preserve">staunch the heavy bleeding. </w:t>
      </w:r>
      <w:proofErr w:type="spellStart"/>
      <w:r w:rsidRPr="00A8429D">
        <w:t>Kabaš’s</w:t>
      </w:r>
      <w:proofErr w:type="spellEnd"/>
      <w:r w:rsidRPr="00A8429D">
        <w:t xml:space="preserve"> sister immediately reported the abduction to KFOR. </w:t>
      </w:r>
    </w:p>
    <w:p w:rsidR="006A79D9" w:rsidRPr="00A8429D" w:rsidRDefault="006A79D9" w:rsidP="006A79D9"/>
    <w:p w:rsidR="003F56FC" w:rsidRDefault="006A79D9" w:rsidP="003F56FC">
      <w:pPr>
        <w:pStyle w:val="ColorfulList-Accent11"/>
        <w:ind w:right="270"/>
        <w:jc w:val="both"/>
      </w:pPr>
      <w:r w:rsidRPr="00A8429D">
        <w:t>On 13 June</w:t>
      </w:r>
      <w:r w:rsidR="00A8429D" w:rsidRPr="00A8429D">
        <w:t xml:space="preserve"> [</w:t>
      </w:r>
      <w:proofErr w:type="gramStart"/>
      <w:r w:rsidR="00A8429D" w:rsidRPr="00A8429D">
        <w:t>sic</w:t>
      </w:r>
      <w:proofErr w:type="gramEnd"/>
      <w:r w:rsidR="00A8429D" w:rsidRPr="00A8429D">
        <w:t>.]</w:t>
      </w:r>
      <w:r w:rsidRPr="00A8429D">
        <w:t>, the same KLA</w:t>
      </w:r>
      <w:r>
        <w:t xml:space="preserve"> men came to the building again, and encountered </w:t>
      </w:r>
      <w:proofErr w:type="spellStart"/>
      <w:r>
        <w:t>Kabaš’s</w:t>
      </w:r>
      <w:proofErr w:type="spellEnd"/>
      <w:r>
        <w:t xml:space="preserve"> sister at the entrance. Obviously not recognizing her as the woman they were looking for, they asked if she knew where the “</w:t>
      </w:r>
      <w:proofErr w:type="spellStart"/>
      <w:r>
        <w:t>Shkija</w:t>
      </w:r>
      <w:proofErr w:type="spellEnd"/>
      <w:r>
        <w:t>”</w:t>
      </w:r>
      <w:r>
        <w:rPr>
          <w:rStyle w:val="FootnoteReference"/>
        </w:rPr>
        <w:footnoteReference w:id="7"/>
      </w:r>
      <w:r>
        <w:t xml:space="preserve"> from the fifth floor was. She escaped being taken herself by replying in Albanian that the woman they wanted had just gone into the neighboring building. As soon as the KLA men left, she sought refuge with neighbors from where she called an Albanian friend who came for her and took her to her own apartment on the other side of town. She fled Kosovo to Serbia two days later.</w:t>
      </w:r>
    </w:p>
    <w:p w:rsidR="003F56FC" w:rsidRDefault="003F56FC" w:rsidP="003F56FC">
      <w:pPr>
        <w:pStyle w:val="ColorfulList-Accent11"/>
        <w:ind w:left="900" w:right="270"/>
        <w:jc w:val="both"/>
      </w:pPr>
    </w:p>
    <w:p w:rsidR="003F56FC" w:rsidRDefault="006A79D9" w:rsidP="003F56FC">
      <w:pPr>
        <w:pStyle w:val="ColorfulList-Accent11"/>
        <w:ind w:right="270"/>
        <w:jc w:val="both"/>
      </w:pPr>
      <w:r>
        <w:t>Source: HLC, witness statement</w:t>
      </w:r>
      <w:r w:rsidR="003F56FC">
        <w:t>.”</w:t>
      </w:r>
      <w:r w:rsidR="003F56FC">
        <w:rPr>
          <w:rStyle w:val="FootnoteReference"/>
        </w:rPr>
        <w:footnoteReference w:id="8"/>
      </w:r>
    </w:p>
    <w:p w:rsidR="00610E0F" w:rsidRDefault="00610E0F" w:rsidP="00610E0F">
      <w:pPr>
        <w:pStyle w:val="ColorfulList-Accent11"/>
      </w:pPr>
    </w:p>
    <w:p w:rsidR="008F4864" w:rsidRPr="00A8429D" w:rsidRDefault="008F4864" w:rsidP="00E025EE">
      <w:pPr>
        <w:numPr>
          <w:ilvl w:val="0"/>
          <w:numId w:val="2"/>
        </w:numPr>
        <w:tabs>
          <w:tab w:val="clear" w:pos="810"/>
          <w:tab w:val="num" w:pos="360"/>
        </w:tabs>
        <w:ind w:left="360"/>
        <w:jc w:val="both"/>
        <w:rPr>
          <w:bCs/>
          <w:lang w:val="en-GB"/>
        </w:rPr>
      </w:pPr>
      <w:bookmarkStart w:id="16" w:name="_Ref404778543"/>
      <w:bookmarkStart w:id="17" w:name="_Ref404245542"/>
      <w:r w:rsidRPr="00A8429D">
        <w:rPr>
          <w:bCs/>
          <w:lang w:val="en-GB"/>
        </w:rPr>
        <w:t xml:space="preserve">As mentioned above (see § </w:t>
      </w:r>
      <w:r w:rsidR="0037719A">
        <w:fldChar w:fldCharType="begin"/>
      </w:r>
      <w:r w:rsidR="0037719A">
        <w:instrText xml:space="preserve"> REF _Ref404776902 \r \h  \* MERGEFORMAT </w:instrText>
      </w:r>
      <w:r w:rsidR="0037719A">
        <w:fldChar w:fldCharType="separate"/>
      </w:r>
      <w:r w:rsidR="00A35759" w:rsidRPr="00A35759">
        <w:rPr>
          <w:bCs/>
          <w:lang w:val="en-GB"/>
        </w:rPr>
        <w:t>17</w:t>
      </w:r>
      <w:r w:rsidR="0037719A">
        <w:fldChar w:fldCharType="end"/>
      </w:r>
      <w:r w:rsidRPr="00A8429D">
        <w:rPr>
          <w:bCs/>
          <w:lang w:val="en-GB"/>
        </w:rPr>
        <w:t xml:space="preserve">), </w:t>
      </w:r>
      <w:r w:rsidR="00694110">
        <w:rPr>
          <w:bCs/>
          <w:lang w:val="en-GB"/>
        </w:rPr>
        <w:t xml:space="preserve">at the </w:t>
      </w:r>
      <w:r w:rsidRPr="00A8429D">
        <w:rPr>
          <w:bCs/>
          <w:lang w:val="en-GB"/>
        </w:rPr>
        <w:t xml:space="preserve">Panel’s request, UNMIK Police went to KFOR </w:t>
      </w:r>
      <w:r w:rsidRPr="00E025EE">
        <w:t>Regional</w:t>
      </w:r>
      <w:r w:rsidRPr="00A8429D">
        <w:rPr>
          <w:bCs/>
          <w:lang w:val="en-GB"/>
        </w:rPr>
        <w:t xml:space="preserve"> Headquarters “West” and checked their archives for information related to the abduction and disappearance of Mr </w:t>
      </w:r>
      <w:proofErr w:type="spellStart"/>
      <w:r w:rsidRPr="00A8429D">
        <w:rPr>
          <w:bCs/>
          <w:lang w:val="en-GB"/>
        </w:rPr>
        <w:t>Milenko</w:t>
      </w:r>
      <w:proofErr w:type="spellEnd"/>
      <w:r w:rsidRPr="00A8429D">
        <w:rPr>
          <w:bCs/>
          <w:lang w:val="en-GB"/>
        </w:rPr>
        <w:t xml:space="preserve"> </w:t>
      </w:r>
      <w:proofErr w:type="spellStart"/>
      <w:r w:rsidRPr="00A8429D">
        <w:rPr>
          <w:bCs/>
          <w:lang w:val="en-GB"/>
        </w:rPr>
        <w:t>Kabaš</w:t>
      </w:r>
      <w:proofErr w:type="spellEnd"/>
      <w:r w:rsidRPr="00A8429D">
        <w:rPr>
          <w:bCs/>
          <w:lang w:val="en-GB"/>
        </w:rPr>
        <w:t xml:space="preserve">. In a memorandum dated 7 February 2012, KFOR confirmed that they possess no information in this regard, except for the above statement of Ms </w:t>
      </w:r>
      <w:proofErr w:type="spellStart"/>
      <w:r w:rsidR="00694110">
        <w:rPr>
          <w:bCs/>
          <w:lang w:val="en-GB"/>
        </w:rPr>
        <w:t>Rosanda</w:t>
      </w:r>
      <w:proofErr w:type="spellEnd"/>
      <w:r w:rsidR="00694110">
        <w:rPr>
          <w:bCs/>
          <w:lang w:val="en-GB"/>
        </w:rPr>
        <w:t xml:space="preserve"> </w:t>
      </w:r>
      <w:proofErr w:type="spellStart"/>
      <w:r w:rsidRPr="00A8429D">
        <w:rPr>
          <w:bCs/>
          <w:lang w:val="en-GB"/>
        </w:rPr>
        <w:t>Kabaš</w:t>
      </w:r>
      <w:proofErr w:type="spellEnd"/>
      <w:r w:rsidRPr="00A8429D">
        <w:rPr>
          <w:bCs/>
          <w:lang w:val="en-GB"/>
        </w:rPr>
        <w:t xml:space="preserve"> to the HLC.</w:t>
      </w:r>
      <w:bookmarkEnd w:id="16"/>
    </w:p>
    <w:p w:rsidR="008F4864" w:rsidRDefault="008F4864" w:rsidP="008F4864">
      <w:pPr>
        <w:pStyle w:val="ColorfulList-Accent11"/>
        <w:widowControl w:val="0"/>
        <w:tabs>
          <w:tab w:val="left" w:pos="720"/>
        </w:tabs>
        <w:ind w:left="360"/>
        <w:jc w:val="both"/>
        <w:rPr>
          <w:bCs/>
          <w:lang w:val="en-GB"/>
        </w:rPr>
      </w:pPr>
    </w:p>
    <w:p w:rsidR="00216D69" w:rsidRPr="00CB2D5A" w:rsidRDefault="00610E0F" w:rsidP="00E025EE">
      <w:pPr>
        <w:numPr>
          <w:ilvl w:val="0"/>
          <w:numId w:val="2"/>
        </w:numPr>
        <w:tabs>
          <w:tab w:val="clear" w:pos="810"/>
          <w:tab w:val="num" w:pos="360"/>
        </w:tabs>
        <w:ind w:left="360"/>
        <w:jc w:val="both"/>
        <w:rPr>
          <w:lang w:val="en-GB"/>
        </w:rPr>
      </w:pPr>
      <w:r>
        <w:lastRenderedPageBreak/>
        <w:t>The</w:t>
      </w:r>
      <w:r w:rsidRPr="00FE2D02">
        <w:t xml:space="preserve"> ICRC tracing request for Mr </w:t>
      </w:r>
      <w:proofErr w:type="spellStart"/>
      <w:r>
        <w:t>Kabaš</w:t>
      </w:r>
      <w:proofErr w:type="spellEnd"/>
      <w:r w:rsidRPr="00FE2D02">
        <w:t xml:space="preserve"> remains open</w:t>
      </w:r>
      <w:r w:rsidRPr="00380C57">
        <w:rPr>
          <w:rStyle w:val="FootnoteReference"/>
        </w:rPr>
        <w:footnoteReference w:id="9"/>
      </w:r>
      <w:r w:rsidRPr="00FE2D02">
        <w:t>.</w:t>
      </w:r>
      <w:r w:rsidR="00CB2D5A">
        <w:t xml:space="preserve"> H</w:t>
      </w:r>
      <w:r w:rsidRPr="00FE2D02">
        <w:t xml:space="preserve">is name </w:t>
      </w:r>
      <w:r w:rsidR="00CB2D5A">
        <w:t xml:space="preserve">also </w:t>
      </w:r>
      <w:r w:rsidRPr="00FE2D02">
        <w:t xml:space="preserve">appears in </w:t>
      </w:r>
      <w:r w:rsidR="00CB2D5A">
        <w:t>the</w:t>
      </w:r>
      <w:r w:rsidRPr="00FE2D02">
        <w:t xml:space="preserve"> list</w:t>
      </w:r>
      <w:r w:rsidR="00CB2D5A">
        <w:t xml:space="preserve"> </w:t>
      </w:r>
      <w:r w:rsidR="00CB2D5A" w:rsidRPr="00CB2D5A">
        <w:rPr>
          <w:bCs/>
          <w:lang w:val="en-GB"/>
        </w:rPr>
        <w:t xml:space="preserve">of missing persons, which was forwarded by the ICRC to UNMIK on 12 October 2001, for whom </w:t>
      </w:r>
      <w:r w:rsidR="00CB2D5A" w:rsidRPr="00E025EE">
        <w:t>the</w:t>
      </w:r>
      <w:r w:rsidR="00CB2D5A" w:rsidRPr="00CB2D5A">
        <w:rPr>
          <w:bCs/>
          <w:lang w:val="en-GB"/>
        </w:rPr>
        <w:t xml:space="preserve"> ICRC had collected ante-mortem data in Serbia proper, between 1 July and 20 September 2001</w:t>
      </w:r>
      <w:r w:rsidR="00CB2D5A">
        <w:rPr>
          <w:bCs/>
          <w:lang w:val="en-GB"/>
        </w:rPr>
        <w:t>. Likewise, his</w:t>
      </w:r>
      <w:r w:rsidR="00CB2D5A" w:rsidRPr="00CB2D5A">
        <w:rPr>
          <w:lang w:val="en-GB"/>
        </w:rPr>
        <w:t xml:space="preserve"> </w:t>
      </w:r>
      <w:r w:rsidR="00CB2D5A">
        <w:rPr>
          <w:lang w:val="en-GB"/>
        </w:rPr>
        <w:t xml:space="preserve">name is in </w:t>
      </w:r>
      <w:r w:rsidR="00CB2D5A" w:rsidRPr="00CB2D5A">
        <w:rPr>
          <w:lang w:val="en-GB"/>
        </w:rPr>
        <w:t>the database compiled by the UNMIK OMPF</w:t>
      </w:r>
      <w:r w:rsidR="00CB2D5A" w:rsidRPr="00380C57">
        <w:rPr>
          <w:rStyle w:val="FootnoteReference"/>
        </w:rPr>
        <w:footnoteReference w:id="10"/>
      </w:r>
      <w:r w:rsidR="00CB2D5A">
        <w:rPr>
          <w:lang w:val="en-GB"/>
        </w:rPr>
        <w:t>.</w:t>
      </w:r>
      <w:bookmarkEnd w:id="17"/>
    </w:p>
    <w:p w:rsidR="00CB2D5A" w:rsidRDefault="00CB2D5A" w:rsidP="00BF4B56"/>
    <w:p w:rsidR="00216D69" w:rsidRPr="00C13F03" w:rsidRDefault="00216D69" w:rsidP="00E025EE">
      <w:pPr>
        <w:numPr>
          <w:ilvl w:val="0"/>
          <w:numId w:val="2"/>
        </w:numPr>
        <w:tabs>
          <w:tab w:val="clear" w:pos="810"/>
          <w:tab w:val="num" w:pos="360"/>
        </w:tabs>
        <w:ind w:left="360"/>
        <w:jc w:val="both"/>
        <w:rPr>
          <w:bCs/>
          <w:lang w:val="en-GB"/>
        </w:rPr>
      </w:pPr>
      <w:r w:rsidRPr="00380C57">
        <w:rPr>
          <w:bCs/>
          <w:lang w:val="en-GB"/>
        </w:rPr>
        <w:t xml:space="preserve">The online list of missing persons </w:t>
      </w:r>
      <w:r w:rsidRPr="00EE6125">
        <w:rPr>
          <w:bCs/>
          <w:color w:val="000000"/>
          <w:lang w:val="en-GB"/>
        </w:rPr>
        <w:t>maintained by the ICMP</w:t>
      </w:r>
      <w:r w:rsidRPr="00EE6125">
        <w:rPr>
          <w:rStyle w:val="FootnoteReference"/>
          <w:color w:val="000000"/>
        </w:rPr>
        <w:footnoteReference w:id="11"/>
      </w:r>
      <w:r w:rsidRPr="00EE6125">
        <w:rPr>
          <w:bCs/>
          <w:color w:val="000000"/>
          <w:lang w:val="en-GB"/>
        </w:rPr>
        <w:t xml:space="preserve"> </w:t>
      </w:r>
      <w:r w:rsidR="00C0362D" w:rsidRPr="00EE6125">
        <w:rPr>
          <w:bCs/>
          <w:color w:val="000000"/>
          <w:lang w:val="en-GB"/>
        </w:rPr>
        <w:t xml:space="preserve">states in his respect: </w:t>
      </w:r>
      <w:r w:rsidR="00CB2D5A" w:rsidRPr="0094545C">
        <w:rPr>
          <w:bCs/>
          <w:lang w:val="en-GB"/>
        </w:rPr>
        <w:t>“Reported date of disappearance: 1 June 1999”</w:t>
      </w:r>
      <w:r w:rsidR="00CB2D5A">
        <w:rPr>
          <w:bCs/>
          <w:lang w:val="en-GB"/>
        </w:rPr>
        <w:t>,</w:t>
      </w:r>
      <w:r w:rsidR="00CB2D5A" w:rsidRPr="0094545C">
        <w:rPr>
          <w:bCs/>
          <w:lang w:val="en-GB"/>
        </w:rPr>
        <w:t xml:space="preserve"> “Not Enough Reference Samples Collected”</w:t>
      </w:r>
      <w:r w:rsidR="00CB2D5A">
        <w:rPr>
          <w:bCs/>
          <w:lang w:val="en-GB"/>
        </w:rPr>
        <w:t xml:space="preserve"> and</w:t>
      </w:r>
      <w:r w:rsidR="00C0362D" w:rsidRPr="00EE6125">
        <w:rPr>
          <w:bCs/>
          <w:color w:val="000000"/>
          <w:lang w:val="en-GB"/>
        </w:rPr>
        <w:t xml:space="preserve"> “DNA match not found.</w:t>
      </w:r>
      <w:r w:rsidR="00C0362D" w:rsidRPr="00EE6125">
        <w:rPr>
          <w:color w:val="000000"/>
        </w:rPr>
        <w:t>”</w:t>
      </w:r>
    </w:p>
    <w:p w:rsidR="00610E0F" w:rsidRDefault="00610E0F" w:rsidP="00672C40">
      <w:pPr>
        <w:jc w:val="both"/>
        <w:rPr>
          <w:lang w:val="en-GB"/>
        </w:rPr>
      </w:pPr>
    </w:p>
    <w:p w:rsidR="00407CDC" w:rsidRPr="00610E0F" w:rsidRDefault="00405253" w:rsidP="00407CDC">
      <w:pPr>
        <w:numPr>
          <w:ilvl w:val="1"/>
          <w:numId w:val="1"/>
        </w:numPr>
        <w:tabs>
          <w:tab w:val="clear" w:pos="360"/>
          <w:tab w:val="num" w:pos="270"/>
        </w:tabs>
        <w:ind w:left="270" w:hanging="270"/>
        <w:jc w:val="both"/>
        <w:rPr>
          <w:i/>
          <w:lang w:val="en-GB"/>
        </w:rPr>
      </w:pPr>
      <w:r>
        <w:rPr>
          <w:i/>
          <w:lang w:val="en-GB"/>
        </w:rPr>
        <w:t>A</w:t>
      </w:r>
      <w:r w:rsidRPr="00405253">
        <w:rPr>
          <w:i/>
          <w:lang w:val="en-GB"/>
        </w:rPr>
        <w:t xml:space="preserve">bduction and </w:t>
      </w:r>
      <w:r w:rsidRPr="00694110">
        <w:rPr>
          <w:i/>
          <w:lang w:val="en-GB"/>
        </w:rPr>
        <w:t xml:space="preserve">disappearance of Mr </w:t>
      </w:r>
      <w:proofErr w:type="spellStart"/>
      <w:r w:rsidRPr="00694110">
        <w:rPr>
          <w:i/>
          <w:lang w:val="en-GB"/>
        </w:rPr>
        <w:t>Mića</w:t>
      </w:r>
      <w:proofErr w:type="spellEnd"/>
      <w:r w:rsidRPr="00694110">
        <w:rPr>
          <w:i/>
          <w:lang w:val="en-GB"/>
        </w:rPr>
        <w:t xml:space="preserve"> </w:t>
      </w:r>
      <w:proofErr w:type="spellStart"/>
      <w:r w:rsidRPr="00694110">
        <w:rPr>
          <w:i/>
          <w:lang w:val="en-GB"/>
        </w:rPr>
        <w:t>Petrović</w:t>
      </w:r>
      <w:proofErr w:type="spellEnd"/>
      <w:r w:rsidRPr="00694110">
        <w:rPr>
          <w:i/>
          <w:lang w:val="en-GB"/>
        </w:rPr>
        <w:t xml:space="preserve"> and Mrs Radmila </w:t>
      </w:r>
      <w:proofErr w:type="spellStart"/>
      <w:r w:rsidRPr="00694110">
        <w:rPr>
          <w:i/>
          <w:lang w:val="en-GB"/>
        </w:rPr>
        <w:t>Petrović</w:t>
      </w:r>
      <w:proofErr w:type="spellEnd"/>
      <w:r w:rsidR="00407CDC" w:rsidRPr="00694110">
        <w:rPr>
          <w:i/>
          <w:lang w:val="en-GB"/>
        </w:rPr>
        <w:t xml:space="preserve"> </w:t>
      </w:r>
      <w:r w:rsidR="00407CDC" w:rsidRPr="00694110">
        <w:rPr>
          <w:i/>
        </w:rPr>
        <w:t>(</w:t>
      </w:r>
      <w:r w:rsidR="00407CDC" w:rsidRPr="00694110">
        <w:rPr>
          <w:i/>
          <w:lang w:val="en-GB"/>
        </w:rPr>
        <w:t>cases</w:t>
      </w:r>
      <w:r w:rsidR="00407CDC">
        <w:rPr>
          <w:i/>
          <w:lang w:val="en-GB"/>
        </w:rPr>
        <w:t xml:space="preserve"> nos 95</w:t>
      </w:r>
      <w:r w:rsidR="00407CDC" w:rsidRPr="00610E0F">
        <w:rPr>
          <w:i/>
          <w:lang w:val="en-GB"/>
        </w:rPr>
        <w:t>/09</w:t>
      </w:r>
      <w:r w:rsidR="00407CDC">
        <w:rPr>
          <w:i/>
          <w:lang w:val="en-GB"/>
        </w:rPr>
        <w:t xml:space="preserve"> and 96/09</w:t>
      </w:r>
      <w:r w:rsidR="00407CDC" w:rsidRPr="00610E0F">
        <w:rPr>
          <w:i/>
          <w:lang w:val="en-GB"/>
        </w:rPr>
        <w:t>)</w:t>
      </w:r>
    </w:p>
    <w:p w:rsidR="00610E0F" w:rsidRDefault="00610E0F" w:rsidP="00610E0F">
      <w:pPr>
        <w:ind w:left="360"/>
        <w:jc w:val="both"/>
        <w:rPr>
          <w:lang w:val="en-GB"/>
        </w:rPr>
      </w:pPr>
    </w:p>
    <w:p w:rsidR="00632228" w:rsidRDefault="00CB2D5A" w:rsidP="00E025EE">
      <w:pPr>
        <w:numPr>
          <w:ilvl w:val="0"/>
          <w:numId w:val="2"/>
        </w:numPr>
        <w:tabs>
          <w:tab w:val="clear" w:pos="810"/>
          <w:tab w:val="num" w:pos="360"/>
        </w:tabs>
        <w:ind w:left="360"/>
        <w:jc w:val="both"/>
        <w:rPr>
          <w:lang w:val="en-GB"/>
        </w:rPr>
      </w:pPr>
      <w:r>
        <w:rPr>
          <w:lang w:val="en-GB"/>
        </w:rPr>
        <w:t xml:space="preserve">Mr Milan </w:t>
      </w:r>
      <w:proofErr w:type="spellStart"/>
      <w:r>
        <w:rPr>
          <w:lang w:val="en-GB"/>
        </w:rPr>
        <w:t>Petrović</w:t>
      </w:r>
      <w:proofErr w:type="spellEnd"/>
      <w:r w:rsidR="00EA15E9">
        <w:rPr>
          <w:lang w:val="en-GB"/>
        </w:rPr>
        <w:t>, the third complainant,</w:t>
      </w:r>
      <w:r>
        <w:rPr>
          <w:lang w:val="en-GB"/>
        </w:rPr>
        <w:t xml:space="preserve"> </w:t>
      </w:r>
      <w:r w:rsidR="00672C40" w:rsidRPr="006D462C">
        <w:rPr>
          <w:lang w:val="en-GB"/>
        </w:rPr>
        <w:t xml:space="preserve">states that his </w:t>
      </w:r>
      <w:r w:rsidR="00672C40" w:rsidRPr="00405253">
        <w:rPr>
          <w:lang w:val="en-GB"/>
        </w:rPr>
        <w:t>parents</w:t>
      </w:r>
      <w:r w:rsidR="00610E0F" w:rsidRPr="00405253">
        <w:rPr>
          <w:lang w:val="en-GB"/>
        </w:rPr>
        <w:t xml:space="preserve">, Mr </w:t>
      </w:r>
      <w:proofErr w:type="spellStart"/>
      <w:r w:rsidR="00405253" w:rsidRPr="00405253">
        <w:rPr>
          <w:lang w:val="en-GB"/>
        </w:rPr>
        <w:t>Mića</w:t>
      </w:r>
      <w:proofErr w:type="spellEnd"/>
      <w:r w:rsidR="005B0D56">
        <w:rPr>
          <w:rStyle w:val="FootnoteReference"/>
          <w:lang w:val="en-GB"/>
        </w:rPr>
        <w:footnoteReference w:id="12"/>
      </w:r>
      <w:r w:rsidR="00405253" w:rsidRPr="00405253">
        <w:rPr>
          <w:lang w:val="en-GB"/>
        </w:rPr>
        <w:t xml:space="preserve"> </w:t>
      </w:r>
      <w:proofErr w:type="spellStart"/>
      <w:r w:rsidR="00405253" w:rsidRPr="00405253">
        <w:rPr>
          <w:lang w:val="en-GB"/>
        </w:rPr>
        <w:t>Petrović</w:t>
      </w:r>
      <w:proofErr w:type="spellEnd"/>
      <w:r w:rsidR="00405253" w:rsidRPr="00405253">
        <w:rPr>
          <w:lang w:val="en-GB"/>
        </w:rPr>
        <w:t xml:space="preserve"> </w:t>
      </w:r>
      <w:r w:rsidR="003F56FC">
        <w:rPr>
          <w:lang w:val="en-GB"/>
        </w:rPr>
        <w:t xml:space="preserve">(a retired police officer) </w:t>
      </w:r>
      <w:r w:rsidR="00405253" w:rsidRPr="00405253">
        <w:rPr>
          <w:lang w:val="en-GB"/>
        </w:rPr>
        <w:t xml:space="preserve">and Mrs Radmila </w:t>
      </w:r>
      <w:proofErr w:type="spellStart"/>
      <w:r w:rsidR="00405253" w:rsidRPr="00405253">
        <w:rPr>
          <w:lang w:val="en-GB"/>
        </w:rPr>
        <w:t>Petrović</w:t>
      </w:r>
      <w:proofErr w:type="spellEnd"/>
      <w:r w:rsidR="00610E0F" w:rsidRPr="00405253">
        <w:rPr>
          <w:lang w:val="en-GB"/>
        </w:rPr>
        <w:t>,</w:t>
      </w:r>
      <w:r w:rsidR="00672C40" w:rsidRPr="00405253">
        <w:rPr>
          <w:lang w:val="en-GB"/>
        </w:rPr>
        <w:t xml:space="preserve"> were </w:t>
      </w:r>
      <w:r>
        <w:rPr>
          <w:lang w:val="en-GB"/>
        </w:rPr>
        <w:t>held by KLA members</w:t>
      </w:r>
      <w:r w:rsidR="00632228">
        <w:rPr>
          <w:lang w:val="en-GB"/>
        </w:rPr>
        <w:t>, H.H.,</w:t>
      </w:r>
      <w:r w:rsidR="00E137E7">
        <w:rPr>
          <w:lang w:val="en-GB"/>
        </w:rPr>
        <w:t xml:space="preserve"> </w:t>
      </w:r>
      <w:proofErr w:type="spellStart"/>
      <w:proofErr w:type="gramStart"/>
      <w:r w:rsidR="00632228">
        <w:rPr>
          <w:lang w:val="en-GB"/>
        </w:rPr>
        <w:t>A.Sh</w:t>
      </w:r>
      <w:proofErr w:type="spellEnd"/>
      <w:r w:rsidR="00632228">
        <w:rPr>
          <w:lang w:val="en-GB"/>
        </w:rPr>
        <w:t>.,</w:t>
      </w:r>
      <w:proofErr w:type="gramEnd"/>
      <w:r w:rsidR="00632228">
        <w:rPr>
          <w:lang w:val="en-GB"/>
        </w:rPr>
        <w:t xml:space="preserve"> and F.D.</w:t>
      </w:r>
      <w:r w:rsidR="00EA15E9">
        <w:rPr>
          <w:lang w:val="en-GB"/>
        </w:rPr>
        <w:t>,</w:t>
      </w:r>
      <w:r>
        <w:rPr>
          <w:lang w:val="en-GB"/>
        </w:rPr>
        <w:t xml:space="preserve"> </w:t>
      </w:r>
      <w:r w:rsidR="00632228" w:rsidRPr="00E025EE">
        <w:rPr>
          <w:bCs/>
          <w:lang w:val="en-GB"/>
        </w:rPr>
        <w:t>in</w:t>
      </w:r>
      <w:r w:rsidR="00632228">
        <w:rPr>
          <w:lang w:val="en-GB"/>
        </w:rPr>
        <w:t xml:space="preserve"> their own </w:t>
      </w:r>
      <w:r>
        <w:rPr>
          <w:lang w:val="en-GB"/>
        </w:rPr>
        <w:t>apartment</w:t>
      </w:r>
      <w:r w:rsidR="00672C40" w:rsidRPr="00405253">
        <w:rPr>
          <w:lang w:val="en-GB"/>
        </w:rPr>
        <w:t xml:space="preserve"> in </w:t>
      </w:r>
      <w:proofErr w:type="spellStart"/>
      <w:r w:rsidR="00672C40" w:rsidRPr="00405253">
        <w:rPr>
          <w:bCs/>
        </w:rPr>
        <w:t>Gjakovë</w:t>
      </w:r>
      <w:proofErr w:type="spellEnd"/>
      <w:r w:rsidR="00672C40" w:rsidRPr="00405253">
        <w:rPr>
          <w:bCs/>
        </w:rPr>
        <w:t>/</w:t>
      </w:r>
      <w:proofErr w:type="spellStart"/>
      <w:r w:rsidR="00672C40" w:rsidRPr="00405253">
        <w:rPr>
          <w:lang w:val="en-GB"/>
        </w:rPr>
        <w:t>Ðakovica</w:t>
      </w:r>
      <w:proofErr w:type="spellEnd"/>
      <w:r w:rsidR="00632228">
        <w:rPr>
          <w:lang w:val="en-GB"/>
        </w:rPr>
        <w:t>, from 14 June 1999. According to the complain</w:t>
      </w:r>
      <w:r w:rsidR="00E137E7">
        <w:rPr>
          <w:lang w:val="en-GB"/>
        </w:rPr>
        <w:t>ant</w:t>
      </w:r>
      <w:r w:rsidR="00632228">
        <w:rPr>
          <w:lang w:val="en-GB"/>
        </w:rPr>
        <w:t>, the la</w:t>
      </w:r>
      <w:r w:rsidR="00E137E7">
        <w:rPr>
          <w:lang w:val="en-GB"/>
        </w:rPr>
        <w:t>st</w:t>
      </w:r>
      <w:r w:rsidR="00632228">
        <w:rPr>
          <w:lang w:val="en-GB"/>
        </w:rPr>
        <w:t xml:space="preserve"> of the three KLA members, F.D., </w:t>
      </w:r>
      <w:r w:rsidR="00E137E7">
        <w:rPr>
          <w:lang w:val="en-GB"/>
        </w:rPr>
        <w:t>remained</w:t>
      </w:r>
      <w:r w:rsidR="00632228">
        <w:rPr>
          <w:lang w:val="en-GB"/>
        </w:rPr>
        <w:t xml:space="preserve"> in the apartment, guarding Mr and Mrs </w:t>
      </w:r>
      <w:proofErr w:type="spellStart"/>
      <w:r w:rsidR="00632228">
        <w:rPr>
          <w:lang w:val="en-GB"/>
        </w:rPr>
        <w:t>Petrović</w:t>
      </w:r>
      <w:proofErr w:type="spellEnd"/>
      <w:r w:rsidR="00632228">
        <w:rPr>
          <w:lang w:val="en-GB"/>
        </w:rPr>
        <w:t>. After two or three weeks of such a detention, they were taken out of the apartment, put in a truck, and taken in an unknown direction. Since that time their whereabouts have remained unknown.</w:t>
      </w:r>
    </w:p>
    <w:p w:rsidR="00632228" w:rsidRDefault="00632228" w:rsidP="00632228">
      <w:pPr>
        <w:ind w:left="360"/>
        <w:jc w:val="both"/>
        <w:rPr>
          <w:lang w:val="en-GB"/>
        </w:rPr>
      </w:pPr>
    </w:p>
    <w:p w:rsidR="00632228" w:rsidRDefault="00632228" w:rsidP="00E025EE">
      <w:pPr>
        <w:numPr>
          <w:ilvl w:val="0"/>
          <w:numId w:val="2"/>
        </w:numPr>
        <w:tabs>
          <w:tab w:val="clear" w:pos="810"/>
          <w:tab w:val="num" w:pos="360"/>
        </w:tabs>
        <w:ind w:left="360"/>
        <w:jc w:val="both"/>
        <w:rPr>
          <w:lang w:val="en-GB"/>
        </w:rPr>
      </w:pPr>
      <w:r>
        <w:rPr>
          <w:lang w:val="en-GB"/>
        </w:rPr>
        <w:t xml:space="preserve">The complainant states that the disappearance of his parents was reported to UNMIK, the </w:t>
      </w:r>
      <w:r w:rsidRPr="00E025EE">
        <w:rPr>
          <w:bCs/>
          <w:lang w:val="en-GB"/>
        </w:rPr>
        <w:t>Yugoslav</w:t>
      </w:r>
      <w:r>
        <w:rPr>
          <w:lang w:val="en-GB"/>
        </w:rPr>
        <w:t xml:space="preserve"> Red Cross, the Serbian Ministry of Internal Affairs (MUP), as well as the Serbian War Crimes Prosecutor’s Office.</w:t>
      </w:r>
    </w:p>
    <w:p w:rsidR="00632228" w:rsidRDefault="00632228" w:rsidP="00632228">
      <w:pPr>
        <w:ind w:left="360"/>
        <w:jc w:val="both"/>
        <w:rPr>
          <w:lang w:val="en-GB"/>
        </w:rPr>
      </w:pPr>
    </w:p>
    <w:p w:rsidR="00632228" w:rsidRDefault="00632228" w:rsidP="00E025EE">
      <w:pPr>
        <w:numPr>
          <w:ilvl w:val="0"/>
          <w:numId w:val="2"/>
        </w:numPr>
        <w:tabs>
          <w:tab w:val="clear" w:pos="810"/>
          <w:tab w:val="num" w:pos="360"/>
        </w:tabs>
        <w:ind w:left="360"/>
        <w:jc w:val="both"/>
        <w:rPr>
          <w:lang w:val="en-GB"/>
        </w:rPr>
      </w:pPr>
      <w:r>
        <w:rPr>
          <w:lang w:val="en-GB"/>
        </w:rPr>
        <w:t xml:space="preserve">The complainant adds that from that time, a relative of H.H. </w:t>
      </w:r>
      <w:r w:rsidR="00E137E7">
        <w:rPr>
          <w:lang w:val="en-GB"/>
        </w:rPr>
        <w:t xml:space="preserve">had </w:t>
      </w:r>
      <w:r>
        <w:rPr>
          <w:lang w:val="en-GB"/>
        </w:rPr>
        <w:t>illegally occupie</w:t>
      </w:r>
      <w:r w:rsidR="00E81765">
        <w:rPr>
          <w:lang w:val="en-GB"/>
        </w:rPr>
        <w:t>d</w:t>
      </w:r>
      <w:r>
        <w:rPr>
          <w:lang w:val="en-GB"/>
        </w:rPr>
        <w:t xml:space="preserve"> the apartment of Mr and Mrs </w:t>
      </w:r>
      <w:proofErr w:type="spellStart"/>
      <w:r>
        <w:rPr>
          <w:lang w:val="en-GB"/>
        </w:rPr>
        <w:t>Petrović</w:t>
      </w:r>
      <w:proofErr w:type="spellEnd"/>
      <w:r>
        <w:rPr>
          <w:lang w:val="en-GB"/>
        </w:rPr>
        <w:t xml:space="preserve"> in </w:t>
      </w:r>
      <w:proofErr w:type="spellStart"/>
      <w:r w:rsidRPr="00405253">
        <w:rPr>
          <w:bCs/>
        </w:rPr>
        <w:t>Gjakovë</w:t>
      </w:r>
      <w:proofErr w:type="spellEnd"/>
      <w:r w:rsidRPr="00405253">
        <w:rPr>
          <w:bCs/>
        </w:rPr>
        <w:t>/</w:t>
      </w:r>
      <w:proofErr w:type="spellStart"/>
      <w:r w:rsidRPr="00405253">
        <w:rPr>
          <w:lang w:val="en-GB"/>
        </w:rPr>
        <w:t>Ðakovica</w:t>
      </w:r>
      <w:proofErr w:type="spellEnd"/>
      <w:r>
        <w:rPr>
          <w:lang w:val="en-GB"/>
        </w:rPr>
        <w:t>.</w:t>
      </w:r>
    </w:p>
    <w:p w:rsidR="00672C40" w:rsidRDefault="00672C40" w:rsidP="00E025EE">
      <w:pPr>
        <w:tabs>
          <w:tab w:val="num" w:pos="360"/>
        </w:tabs>
        <w:ind w:left="360"/>
        <w:jc w:val="both"/>
        <w:rPr>
          <w:lang w:val="en-GB"/>
        </w:rPr>
      </w:pPr>
    </w:p>
    <w:p w:rsidR="00E81765" w:rsidRDefault="00672C40" w:rsidP="00E025EE">
      <w:pPr>
        <w:numPr>
          <w:ilvl w:val="0"/>
          <w:numId w:val="2"/>
        </w:numPr>
        <w:tabs>
          <w:tab w:val="clear" w:pos="810"/>
          <w:tab w:val="num" w:pos="360"/>
        </w:tabs>
        <w:ind w:left="360"/>
        <w:jc w:val="both"/>
        <w:rPr>
          <w:lang w:val="en-GB"/>
        </w:rPr>
      </w:pPr>
      <w:bookmarkStart w:id="18" w:name="_Ref404598204"/>
      <w:r>
        <w:rPr>
          <w:lang w:val="en-GB"/>
        </w:rPr>
        <w:t xml:space="preserve">The complainant </w:t>
      </w:r>
      <w:r w:rsidR="00E81765">
        <w:rPr>
          <w:lang w:val="en-GB"/>
        </w:rPr>
        <w:t xml:space="preserve">provided to the Panel copies </w:t>
      </w:r>
      <w:r w:rsidR="005B0D56">
        <w:rPr>
          <w:lang w:val="en-GB"/>
        </w:rPr>
        <w:t xml:space="preserve">a number of </w:t>
      </w:r>
      <w:r w:rsidR="00E81765">
        <w:rPr>
          <w:lang w:val="en-GB"/>
        </w:rPr>
        <w:t>documents</w:t>
      </w:r>
      <w:r w:rsidR="00931282">
        <w:rPr>
          <w:lang w:val="en-GB"/>
        </w:rPr>
        <w:t xml:space="preserve">, which have very detailed description of the events </w:t>
      </w:r>
      <w:r w:rsidR="005B0D56">
        <w:rPr>
          <w:lang w:val="en-GB"/>
        </w:rPr>
        <w:t xml:space="preserve">surrounding the abduction of Mr and Mrs </w:t>
      </w:r>
      <w:proofErr w:type="spellStart"/>
      <w:r w:rsidR="005B0D56">
        <w:rPr>
          <w:lang w:val="en-GB"/>
        </w:rPr>
        <w:t>Petrović</w:t>
      </w:r>
      <w:proofErr w:type="spellEnd"/>
      <w:r w:rsidR="005B0D56">
        <w:rPr>
          <w:lang w:val="en-GB"/>
        </w:rPr>
        <w:t xml:space="preserve">, as well as a number of other people who were also abducted from </w:t>
      </w:r>
      <w:proofErr w:type="spellStart"/>
      <w:r w:rsidR="005B0D56" w:rsidRPr="00405253">
        <w:rPr>
          <w:bCs/>
        </w:rPr>
        <w:t>Gjakovë</w:t>
      </w:r>
      <w:proofErr w:type="spellEnd"/>
      <w:r w:rsidR="005B0D56" w:rsidRPr="00405253">
        <w:rPr>
          <w:bCs/>
        </w:rPr>
        <w:t>/</w:t>
      </w:r>
      <w:proofErr w:type="spellStart"/>
      <w:r w:rsidR="005B0D56" w:rsidRPr="00405253">
        <w:rPr>
          <w:lang w:val="en-GB"/>
        </w:rPr>
        <w:t>Ðakovica</w:t>
      </w:r>
      <w:proofErr w:type="spellEnd"/>
      <w:r w:rsidR="005B0D56">
        <w:rPr>
          <w:lang w:val="en-GB"/>
        </w:rPr>
        <w:t xml:space="preserve"> around the same time, ostensibly by the same group of KLA members. These documents are:</w:t>
      </w:r>
      <w:bookmarkEnd w:id="18"/>
    </w:p>
    <w:p w:rsidR="00E81765" w:rsidRDefault="00E81765" w:rsidP="00E81765">
      <w:pPr>
        <w:pStyle w:val="ColorfulList-Accent11"/>
        <w:rPr>
          <w:lang w:val="en-GB"/>
        </w:rPr>
      </w:pPr>
    </w:p>
    <w:p w:rsidR="000B1FE4" w:rsidRPr="003467DC" w:rsidRDefault="000B1FE4" w:rsidP="000B1FE4">
      <w:pPr>
        <w:pStyle w:val="ColorfulList-Accent11"/>
        <w:numPr>
          <w:ilvl w:val="0"/>
          <w:numId w:val="17"/>
        </w:numPr>
        <w:tabs>
          <w:tab w:val="num" w:pos="720"/>
        </w:tabs>
        <w:ind w:left="720" w:hanging="180"/>
        <w:jc w:val="both"/>
        <w:rPr>
          <w:lang w:val="en-GB"/>
        </w:rPr>
      </w:pPr>
      <w:r w:rsidRPr="00E5360E">
        <w:rPr>
          <w:lang w:val="en-GB"/>
        </w:rPr>
        <w:t>a certificate</w:t>
      </w:r>
      <w:r w:rsidRPr="003467DC">
        <w:t>, dated 11 Se</w:t>
      </w:r>
      <w:r w:rsidR="00A8429D">
        <w:t>ptember 1999, issued by the Cent</w:t>
      </w:r>
      <w:r w:rsidRPr="003467DC">
        <w:t xml:space="preserve">er for Peace and Tolerance in </w:t>
      </w:r>
      <w:proofErr w:type="spellStart"/>
      <w:r w:rsidRPr="003467DC">
        <w:t>Prishtinё</w:t>
      </w:r>
      <w:proofErr w:type="spellEnd"/>
      <w:r>
        <w:t>/Priština, which reads:</w:t>
      </w:r>
    </w:p>
    <w:p w:rsidR="000B1FE4" w:rsidRPr="003467DC" w:rsidRDefault="000B1FE4" w:rsidP="000B1FE4">
      <w:pPr>
        <w:pStyle w:val="ColorfulList-Accent11"/>
        <w:tabs>
          <w:tab w:val="num" w:pos="900"/>
        </w:tabs>
        <w:ind w:left="900" w:right="270"/>
        <w:jc w:val="both"/>
        <w:rPr>
          <w:lang w:val="en-GB"/>
        </w:rPr>
      </w:pPr>
      <w:r>
        <w:t>“</w:t>
      </w:r>
      <w:r w:rsidRPr="003467DC">
        <w:t>As per your request in relation with below mentioned persons</w:t>
      </w:r>
      <w:r>
        <w:t xml:space="preserve"> [</w:t>
      </w:r>
      <w:r>
        <w:rPr>
          <w:lang w:val="en-GB"/>
        </w:rPr>
        <w:t xml:space="preserve">Mr and Mrs </w:t>
      </w:r>
      <w:proofErr w:type="spellStart"/>
      <w:r>
        <w:rPr>
          <w:lang w:val="en-GB"/>
        </w:rPr>
        <w:t>Petrović</w:t>
      </w:r>
      <w:proofErr w:type="spellEnd"/>
      <w:r>
        <w:rPr>
          <w:lang w:val="en-GB"/>
        </w:rPr>
        <w:t>]</w:t>
      </w:r>
      <w:r w:rsidRPr="003467DC">
        <w:t xml:space="preserve">, we would like to inform you that they are healthy </w:t>
      </w:r>
      <w:r>
        <w:t xml:space="preserve">and </w:t>
      </w:r>
      <w:r w:rsidRPr="003467DC">
        <w:t xml:space="preserve">alive and </w:t>
      </w:r>
      <w:r>
        <w:t xml:space="preserve">that </w:t>
      </w:r>
      <w:r w:rsidRPr="003467DC">
        <w:t xml:space="preserve">they are in </w:t>
      </w:r>
      <w:r>
        <w:t xml:space="preserve">a </w:t>
      </w:r>
      <w:r w:rsidRPr="003467DC">
        <w:t xml:space="preserve">camp or </w:t>
      </w:r>
      <w:r>
        <w:t xml:space="preserve">in </w:t>
      </w:r>
      <w:r w:rsidRPr="003467DC">
        <w:t xml:space="preserve">captivity. </w:t>
      </w:r>
      <w:r>
        <w:t>We know this from t</w:t>
      </w:r>
      <w:r w:rsidRPr="003467DC">
        <w:t>he ICRC and KFOR</w:t>
      </w:r>
      <w:r>
        <w:t>, who got this information through n</w:t>
      </w:r>
      <w:r w:rsidRPr="003467DC">
        <w:t>egotiations.</w:t>
      </w:r>
      <w:r>
        <w:t>”</w:t>
      </w:r>
    </w:p>
    <w:p w:rsidR="000B1FE4" w:rsidRDefault="000B1FE4" w:rsidP="000B1FE4">
      <w:pPr>
        <w:pStyle w:val="ColorfulList-Accent11"/>
        <w:numPr>
          <w:ilvl w:val="0"/>
          <w:numId w:val="17"/>
        </w:numPr>
        <w:tabs>
          <w:tab w:val="num" w:pos="720"/>
        </w:tabs>
        <w:ind w:left="720" w:hanging="180"/>
        <w:jc w:val="both"/>
        <w:rPr>
          <w:lang w:val="en-GB"/>
        </w:rPr>
      </w:pPr>
      <w:r>
        <w:rPr>
          <w:lang w:val="en-GB"/>
        </w:rPr>
        <w:t>an undated report about the abduction of his parents;</w:t>
      </w:r>
    </w:p>
    <w:p w:rsidR="000B1FE4" w:rsidRDefault="000B1FE4" w:rsidP="000B1FE4">
      <w:pPr>
        <w:pStyle w:val="ColorfulList-Accent11"/>
        <w:numPr>
          <w:ilvl w:val="0"/>
          <w:numId w:val="17"/>
        </w:numPr>
        <w:tabs>
          <w:tab w:val="num" w:pos="720"/>
        </w:tabs>
        <w:ind w:left="720" w:hanging="180"/>
        <w:jc w:val="both"/>
        <w:rPr>
          <w:lang w:val="en-GB"/>
        </w:rPr>
      </w:pPr>
      <w:r>
        <w:rPr>
          <w:lang w:val="en-GB"/>
        </w:rPr>
        <w:t>copies of his public announcements, in Serbian and Albanian, offering a reward of 5,000 deutschemarks for help in finding his parents;</w:t>
      </w:r>
    </w:p>
    <w:p w:rsidR="00E81765" w:rsidRDefault="00645B10" w:rsidP="000B1FE4">
      <w:pPr>
        <w:pStyle w:val="ColorfulList-Accent11"/>
        <w:numPr>
          <w:ilvl w:val="0"/>
          <w:numId w:val="17"/>
        </w:numPr>
        <w:tabs>
          <w:tab w:val="num" w:pos="720"/>
        </w:tabs>
        <w:ind w:left="720" w:hanging="180"/>
        <w:jc w:val="both"/>
        <w:rPr>
          <w:lang w:val="en-GB"/>
        </w:rPr>
      </w:pPr>
      <w:proofErr w:type="gramStart"/>
      <w:r>
        <w:rPr>
          <w:lang w:val="en-GB"/>
        </w:rPr>
        <w:lastRenderedPageBreak/>
        <w:t>a</w:t>
      </w:r>
      <w:proofErr w:type="gramEnd"/>
      <w:r>
        <w:rPr>
          <w:lang w:val="en-GB"/>
        </w:rPr>
        <w:t xml:space="preserve"> </w:t>
      </w:r>
      <w:r w:rsidR="00E81765">
        <w:rPr>
          <w:lang w:val="en-GB"/>
        </w:rPr>
        <w:t>request</w:t>
      </w:r>
      <w:r w:rsidR="00E81765" w:rsidRPr="00E81765">
        <w:rPr>
          <w:lang w:val="en-GB"/>
        </w:rPr>
        <w:t xml:space="preserve"> from the Manager of the Serbian </w:t>
      </w:r>
      <w:r w:rsidR="00E81765">
        <w:rPr>
          <w:lang w:val="en-GB"/>
        </w:rPr>
        <w:t xml:space="preserve">Team for liaison with KFOR, addressed to KFOR and UNMIK Police, </w:t>
      </w:r>
      <w:r w:rsidR="00E81765" w:rsidRPr="00E81765">
        <w:rPr>
          <w:lang w:val="en-GB"/>
        </w:rPr>
        <w:t>dated</w:t>
      </w:r>
      <w:r w:rsidR="00E81765">
        <w:rPr>
          <w:lang w:val="en-GB"/>
        </w:rPr>
        <w:t xml:space="preserve"> 7 May 2001; it contains inform</w:t>
      </w:r>
      <w:r>
        <w:rPr>
          <w:lang w:val="en-GB"/>
        </w:rPr>
        <w:t>ation</w:t>
      </w:r>
      <w:r w:rsidR="00E81765">
        <w:rPr>
          <w:lang w:val="en-GB"/>
        </w:rPr>
        <w:t xml:space="preserve"> about the circumstances of the abduction of Mr and Mrs </w:t>
      </w:r>
      <w:proofErr w:type="spellStart"/>
      <w:r w:rsidR="00E81765">
        <w:rPr>
          <w:lang w:val="en-GB"/>
        </w:rPr>
        <w:t>Petrović</w:t>
      </w:r>
      <w:proofErr w:type="spellEnd"/>
      <w:r w:rsidR="00E81765">
        <w:rPr>
          <w:lang w:val="en-GB"/>
        </w:rPr>
        <w:t>,</w:t>
      </w:r>
      <w:r>
        <w:rPr>
          <w:lang w:val="en-GB"/>
        </w:rPr>
        <w:t xml:space="preserve"> and a request for investigation into the matter. According to this request, the commander of the KLA unit responsible for the abduction, N.A., was in May 2001 detained by UNMIK for an attempted murder; </w:t>
      </w:r>
    </w:p>
    <w:p w:rsidR="00645B10" w:rsidRDefault="00645B10" w:rsidP="000B1FE4">
      <w:pPr>
        <w:pStyle w:val="ColorfulList-Accent11"/>
        <w:numPr>
          <w:ilvl w:val="0"/>
          <w:numId w:val="17"/>
        </w:numPr>
        <w:tabs>
          <w:tab w:val="num" w:pos="720"/>
        </w:tabs>
        <w:ind w:left="720" w:hanging="180"/>
        <w:jc w:val="both"/>
        <w:rPr>
          <w:lang w:val="en-GB"/>
        </w:rPr>
      </w:pPr>
      <w:r>
        <w:rPr>
          <w:lang w:val="en-GB"/>
        </w:rPr>
        <w:t>a confirmation of the Yugoslav Red Cross,</w:t>
      </w:r>
      <w:r w:rsidRPr="00645B10">
        <w:rPr>
          <w:lang w:val="en-GB"/>
        </w:rPr>
        <w:t xml:space="preserve"> </w:t>
      </w:r>
      <w:r>
        <w:rPr>
          <w:lang w:val="en-GB"/>
        </w:rPr>
        <w:t>dated 21 June 2002</w:t>
      </w:r>
      <w:r w:rsidR="00E137E7">
        <w:rPr>
          <w:lang w:val="en-GB"/>
        </w:rPr>
        <w:t>,</w:t>
      </w:r>
      <w:r>
        <w:rPr>
          <w:lang w:val="en-GB"/>
        </w:rPr>
        <w:t xml:space="preserve"> confirming that</w:t>
      </w:r>
      <w:r w:rsidRPr="00645B10">
        <w:rPr>
          <w:lang w:val="en-GB"/>
        </w:rPr>
        <w:t xml:space="preserve"> </w:t>
      </w:r>
      <w:r>
        <w:rPr>
          <w:lang w:val="en-GB"/>
        </w:rPr>
        <w:t xml:space="preserve">Mr and Mrs </w:t>
      </w:r>
      <w:proofErr w:type="spellStart"/>
      <w:r>
        <w:rPr>
          <w:lang w:val="en-GB"/>
        </w:rPr>
        <w:t>Petrović</w:t>
      </w:r>
      <w:proofErr w:type="spellEnd"/>
      <w:r>
        <w:rPr>
          <w:lang w:val="en-GB"/>
        </w:rPr>
        <w:t xml:space="preserve"> are register</w:t>
      </w:r>
      <w:r w:rsidR="00E137E7">
        <w:rPr>
          <w:lang w:val="en-GB"/>
        </w:rPr>
        <w:t>e</w:t>
      </w:r>
      <w:r>
        <w:rPr>
          <w:lang w:val="en-GB"/>
        </w:rPr>
        <w:t>d as missing persons since 7 August 1999;</w:t>
      </w:r>
    </w:p>
    <w:p w:rsidR="00EA15E9" w:rsidRDefault="00EA15E9" w:rsidP="00EA15E9">
      <w:pPr>
        <w:pStyle w:val="ColorfulList-Accent11"/>
        <w:numPr>
          <w:ilvl w:val="0"/>
          <w:numId w:val="17"/>
        </w:numPr>
        <w:tabs>
          <w:tab w:val="num" w:pos="720"/>
        </w:tabs>
        <w:ind w:left="720" w:hanging="180"/>
        <w:jc w:val="both"/>
        <w:rPr>
          <w:lang w:val="en-GB"/>
        </w:rPr>
      </w:pPr>
      <w:r>
        <w:rPr>
          <w:lang w:val="en-GB"/>
        </w:rPr>
        <w:t xml:space="preserve">a statement of Ms </w:t>
      </w:r>
      <w:proofErr w:type="spellStart"/>
      <w:r>
        <w:rPr>
          <w:lang w:val="en-GB"/>
        </w:rPr>
        <w:t>Rosanda</w:t>
      </w:r>
      <w:proofErr w:type="spellEnd"/>
      <w:r>
        <w:rPr>
          <w:lang w:val="en-GB"/>
        </w:rPr>
        <w:t xml:space="preserve"> </w:t>
      </w:r>
      <w:proofErr w:type="spellStart"/>
      <w:r>
        <w:rPr>
          <w:lang w:val="en-GB"/>
        </w:rPr>
        <w:t>Kabaš</w:t>
      </w:r>
      <w:proofErr w:type="spellEnd"/>
      <w:r>
        <w:rPr>
          <w:lang w:val="en-GB"/>
        </w:rPr>
        <w:t>, given on 19 December 2002 to</w:t>
      </w:r>
      <w:r w:rsidR="00E137E7">
        <w:rPr>
          <w:lang w:val="en-GB"/>
        </w:rPr>
        <w:t xml:space="preserve"> the</w:t>
      </w:r>
      <w:r>
        <w:rPr>
          <w:lang w:val="en-GB"/>
        </w:rPr>
        <w:t xml:space="preserve"> Serbian MUP in </w:t>
      </w:r>
      <w:proofErr w:type="spellStart"/>
      <w:r>
        <w:rPr>
          <w:lang w:val="en-GB"/>
        </w:rPr>
        <w:t>Jagodina</w:t>
      </w:r>
      <w:proofErr w:type="spellEnd"/>
      <w:r>
        <w:rPr>
          <w:lang w:val="en-GB"/>
        </w:rPr>
        <w:t>, Serbia proper;</w:t>
      </w:r>
    </w:p>
    <w:p w:rsidR="003467DC" w:rsidRPr="003467DC" w:rsidRDefault="003467DC" w:rsidP="000B1FE4">
      <w:pPr>
        <w:pStyle w:val="ColorfulList-Accent11"/>
        <w:numPr>
          <w:ilvl w:val="0"/>
          <w:numId w:val="17"/>
        </w:numPr>
        <w:tabs>
          <w:tab w:val="num" w:pos="720"/>
        </w:tabs>
        <w:ind w:left="720" w:hanging="180"/>
        <w:jc w:val="both"/>
        <w:rPr>
          <w:lang w:val="en-GB"/>
        </w:rPr>
      </w:pPr>
      <w:proofErr w:type="gramStart"/>
      <w:r>
        <w:rPr>
          <w:lang w:val="en-GB"/>
        </w:rPr>
        <w:t>his</w:t>
      </w:r>
      <w:proofErr w:type="gramEnd"/>
      <w:r>
        <w:rPr>
          <w:lang w:val="en-GB"/>
        </w:rPr>
        <w:t xml:space="preserve"> crim</w:t>
      </w:r>
      <w:r w:rsidR="00E137E7">
        <w:rPr>
          <w:lang w:val="en-GB"/>
        </w:rPr>
        <w:t xml:space="preserve">inal report against H.H., </w:t>
      </w:r>
      <w:proofErr w:type="spellStart"/>
      <w:r>
        <w:rPr>
          <w:lang w:val="en-GB"/>
        </w:rPr>
        <w:t>A.Sh</w:t>
      </w:r>
      <w:proofErr w:type="spellEnd"/>
      <w:r>
        <w:rPr>
          <w:lang w:val="en-GB"/>
        </w:rPr>
        <w:t>.</w:t>
      </w:r>
      <w:r w:rsidR="00E137E7">
        <w:rPr>
          <w:lang w:val="en-GB"/>
        </w:rPr>
        <w:t xml:space="preserve"> </w:t>
      </w:r>
      <w:proofErr w:type="gramStart"/>
      <w:r w:rsidR="00E137E7">
        <w:rPr>
          <w:lang w:val="en-GB"/>
        </w:rPr>
        <w:t>and</w:t>
      </w:r>
      <w:proofErr w:type="gramEnd"/>
      <w:r>
        <w:rPr>
          <w:lang w:val="en-GB"/>
        </w:rPr>
        <w:t xml:space="preserve"> F.D. responsible for the abduction of Mr and Mrs </w:t>
      </w:r>
      <w:proofErr w:type="spellStart"/>
      <w:r>
        <w:rPr>
          <w:lang w:val="en-GB"/>
        </w:rPr>
        <w:t>Petrović</w:t>
      </w:r>
      <w:proofErr w:type="spellEnd"/>
      <w:r>
        <w:rPr>
          <w:lang w:val="en-GB"/>
        </w:rPr>
        <w:t xml:space="preserve">, addressed to the District Public Prosecutor’s Office (DPPO) in </w:t>
      </w:r>
      <w:proofErr w:type="spellStart"/>
      <w:r>
        <w:rPr>
          <w:lang w:val="en-GB"/>
        </w:rPr>
        <w:t>Pe</w:t>
      </w:r>
      <w:r w:rsidRPr="00E5360E">
        <w:rPr>
          <w:lang w:val="en-GB"/>
        </w:rPr>
        <w:t>jё</w:t>
      </w:r>
      <w:proofErr w:type="spellEnd"/>
      <w:r w:rsidRPr="00E5360E">
        <w:rPr>
          <w:lang w:val="en-GB"/>
        </w:rPr>
        <w:t xml:space="preserve">/Peć, located in </w:t>
      </w:r>
      <w:proofErr w:type="spellStart"/>
      <w:r w:rsidRPr="00E5360E">
        <w:rPr>
          <w:lang w:val="en-GB"/>
        </w:rPr>
        <w:t>Jagodina</w:t>
      </w:r>
      <w:proofErr w:type="spellEnd"/>
      <w:r w:rsidRPr="00E5360E">
        <w:rPr>
          <w:lang w:val="en-GB"/>
        </w:rPr>
        <w:t>, Serbia proper (MUP case no. PU-32/04, of 28 May 2004, DPPO case no 230-1402/04);</w:t>
      </w:r>
    </w:p>
    <w:p w:rsidR="000B1FE4" w:rsidRDefault="000B1FE4" w:rsidP="000B1FE4">
      <w:pPr>
        <w:pStyle w:val="ColorfulList-Accent11"/>
        <w:numPr>
          <w:ilvl w:val="0"/>
          <w:numId w:val="17"/>
        </w:numPr>
        <w:tabs>
          <w:tab w:val="num" w:pos="720"/>
        </w:tabs>
        <w:ind w:left="720" w:hanging="180"/>
        <w:jc w:val="both"/>
        <w:rPr>
          <w:lang w:val="en-GB"/>
        </w:rPr>
      </w:pPr>
      <w:r>
        <w:rPr>
          <w:lang w:val="en-GB"/>
        </w:rPr>
        <w:t xml:space="preserve">his </w:t>
      </w:r>
      <w:r w:rsidR="00616D19">
        <w:rPr>
          <w:lang w:val="en-GB"/>
        </w:rPr>
        <w:t xml:space="preserve">detailed </w:t>
      </w:r>
      <w:r w:rsidRPr="00E81765">
        <w:rPr>
          <w:lang w:val="en-GB"/>
        </w:rPr>
        <w:t>statement given on 15 July 2008 to th</w:t>
      </w:r>
      <w:r>
        <w:rPr>
          <w:lang w:val="en-GB"/>
        </w:rPr>
        <w:t>e Serbian War Crimes Prosecutor;</w:t>
      </w:r>
    </w:p>
    <w:p w:rsidR="003467DC" w:rsidRPr="003467DC" w:rsidRDefault="003467DC" w:rsidP="003467DC">
      <w:pPr>
        <w:pStyle w:val="ColorfulList-Accent11"/>
        <w:ind w:left="1080"/>
        <w:jc w:val="both"/>
        <w:rPr>
          <w:lang w:val="en-GB"/>
        </w:rPr>
      </w:pPr>
    </w:p>
    <w:p w:rsidR="003F56FC" w:rsidRDefault="00672C40" w:rsidP="00E025EE">
      <w:pPr>
        <w:numPr>
          <w:ilvl w:val="0"/>
          <w:numId w:val="2"/>
        </w:numPr>
        <w:tabs>
          <w:tab w:val="clear" w:pos="810"/>
          <w:tab w:val="num" w:pos="360"/>
        </w:tabs>
        <w:ind w:left="360"/>
        <w:jc w:val="both"/>
        <w:rPr>
          <w:bCs/>
          <w:lang w:val="en-GB"/>
        </w:rPr>
      </w:pPr>
      <w:bookmarkStart w:id="19" w:name="_Ref404593646"/>
      <w:r w:rsidRPr="00380C57">
        <w:t>The ICRC’s tracing request</w:t>
      </w:r>
      <w:r w:rsidR="005B0D56">
        <w:t>s</w:t>
      </w:r>
      <w:r w:rsidRPr="00380C57">
        <w:t xml:space="preserve"> for Mr </w:t>
      </w:r>
      <w:r w:rsidR="005B0D56">
        <w:t xml:space="preserve">and Mrs </w:t>
      </w:r>
      <w:proofErr w:type="spellStart"/>
      <w:r w:rsidR="005B0D56">
        <w:t>Petrović</w:t>
      </w:r>
      <w:proofErr w:type="spellEnd"/>
      <w:r w:rsidR="005B0D56">
        <w:t xml:space="preserve"> </w:t>
      </w:r>
      <w:r w:rsidRPr="00380C57">
        <w:t>remain open</w:t>
      </w:r>
      <w:r w:rsidRPr="00380C57">
        <w:rPr>
          <w:rStyle w:val="FootnoteReference"/>
        </w:rPr>
        <w:footnoteReference w:id="13"/>
      </w:r>
      <w:r w:rsidR="005B0D56">
        <w:t xml:space="preserve">. </w:t>
      </w:r>
      <w:r w:rsidR="003F56FC">
        <w:t>Their</w:t>
      </w:r>
      <w:r w:rsidR="003F56FC" w:rsidRPr="00FE2D02">
        <w:t xml:space="preserve"> name</w:t>
      </w:r>
      <w:r w:rsidR="003F56FC">
        <w:t>s</w:t>
      </w:r>
      <w:r w:rsidR="003F56FC" w:rsidRPr="00FE2D02">
        <w:t xml:space="preserve"> </w:t>
      </w:r>
      <w:r w:rsidR="003F56FC">
        <w:t xml:space="preserve">also </w:t>
      </w:r>
      <w:r w:rsidR="003F56FC" w:rsidRPr="00FE2D02">
        <w:t xml:space="preserve">appear in </w:t>
      </w:r>
      <w:r w:rsidR="003F56FC">
        <w:t>the</w:t>
      </w:r>
      <w:r w:rsidR="003F56FC" w:rsidRPr="00FE2D02">
        <w:t xml:space="preserve"> list</w:t>
      </w:r>
      <w:r w:rsidR="003F56FC">
        <w:t xml:space="preserve"> </w:t>
      </w:r>
      <w:r w:rsidR="003F56FC" w:rsidRPr="003F56FC">
        <w:rPr>
          <w:bCs/>
          <w:lang w:val="en-GB"/>
        </w:rPr>
        <w:t xml:space="preserve">of missing persons, which was forwarded by the ICRC to UNMIK on 12 October 2001, for whom the ICRC had collected ante-mortem data in Serbia proper, between 1 July and 20 September 2001. </w:t>
      </w:r>
      <w:r w:rsidRPr="00380C57">
        <w:t xml:space="preserve">Likewise, </w:t>
      </w:r>
      <w:r w:rsidR="005B0D56">
        <w:t>their</w:t>
      </w:r>
      <w:r w:rsidRPr="00380C57">
        <w:t xml:space="preserve"> name</w:t>
      </w:r>
      <w:r w:rsidR="003F56FC">
        <w:t>s</w:t>
      </w:r>
      <w:r w:rsidRPr="00380C57">
        <w:t xml:space="preserve"> </w:t>
      </w:r>
      <w:r w:rsidR="003F56FC">
        <w:t>are</w:t>
      </w:r>
      <w:r w:rsidRPr="00380C57">
        <w:t xml:space="preserve"> mentioned in </w:t>
      </w:r>
      <w:r w:rsidRPr="003F56FC">
        <w:rPr>
          <w:bCs/>
          <w:lang w:val="en-GB"/>
        </w:rPr>
        <w:t>the database compiled by the UNMIK OMPF</w:t>
      </w:r>
      <w:r>
        <w:rPr>
          <w:rStyle w:val="FootnoteReference"/>
          <w:bCs/>
          <w:lang w:val="en-GB"/>
        </w:rPr>
        <w:footnoteReference w:id="14"/>
      </w:r>
      <w:r w:rsidRPr="003F56FC">
        <w:rPr>
          <w:bCs/>
          <w:lang w:val="en-GB"/>
        </w:rPr>
        <w:t>.</w:t>
      </w:r>
      <w:bookmarkEnd w:id="19"/>
    </w:p>
    <w:p w:rsidR="003F56FC" w:rsidRDefault="003F56FC" w:rsidP="003F56FC">
      <w:pPr>
        <w:pStyle w:val="ColorfulList-Accent11"/>
        <w:rPr>
          <w:bCs/>
          <w:lang w:val="en-GB"/>
        </w:rPr>
      </w:pPr>
    </w:p>
    <w:p w:rsidR="00672C40" w:rsidRPr="003F56FC" w:rsidRDefault="00672C40" w:rsidP="00E025EE">
      <w:pPr>
        <w:numPr>
          <w:ilvl w:val="0"/>
          <w:numId w:val="2"/>
        </w:numPr>
        <w:tabs>
          <w:tab w:val="clear" w:pos="810"/>
          <w:tab w:val="num" w:pos="360"/>
        </w:tabs>
        <w:ind w:left="360"/>
        <w:jc w:val="both"/>
        <w:rPr>
          <w:bCs/>
          <w:lang w:val="en-GB"/>
        </w:rPr>
      </w:pPr>
      <w:bookmarkStart w:id="20" w:name="_Ref404694863"/>
      <w:r w:rsidRPr="003F56FC">
        <w:rPr>
          <w:bCs/>
          <w:lang w:val="en-GB"/>
        </w:rPr>
        <w:t>The entr</w:t>
      </w:r>
      <w:r w:rsidR="005B0D56" w:rsidRPr="003F56FC">
        <w:rPr>
          <w:bCs/>
          <w:lang w:val="en-GB"/>
        </w:rPr>
        <w:t>ies</w:t>
      </w:r>
      <w:r w:rsidRPr="003F56FC">
        <w:rPr>
          <w:bCs/>
          <w:lang w:val="en-GB"/>
        </w:rPr>
        <w:t xml:space="preserve"> in the online list of missing persons maintained by the ICMP</w:t>
      </w:r>
      <w:r w:rsidRPr="00380C57">
        <w:rPr>
          <w:rStyle w:val="FootnoteReference"/>
          <w:color w:val="464646"/>
        </w:rPr>
        <w:footnoteReference w:id="15"/>
      </w:r>
      <w:r w:rsidRPr="003F56FC">
        <w:rPr>
          <w:bCs/>
          <w:lang w:val="en-GB"/>
        </w:rPr>
        <w:t xml:space="preserve"> related to </w:t>
      </w:r>
      <w:r w:rsidR="005B0D56" w:rsidRPr="003F56FC">
        <w:rPr>
          <w:bCs/>
          <w:lang w:val="en-GB"/>
        </w:rPr>
        <w:t>them</w:t>
      </w:r>
      <w:r w:rsidRPr="003F56FC">
        <w:rPr>
          <w:bCs/>
          <w:lang w:val="en-GB"/>
        </w:rPr>
        <w:t xml:space="preserve"> read in relevant parts: “Reported date of disappearance: </w:t>
      </w:r>
      <w:r w:rsidR="005B0D56" w:rsidRPr="003F56FC">
        <w:rPr>
          <w:bCs/>
          <w:lang w:val="en-GB"/>
        </w:rPr>
        <w:t xml:space="preserve">6 </w:t>
      </w:r>
      <w:r w:rsidRPr="003F56FC">
        <w:rPr>
          <w:bCs/>
          <w:lang w:val="en-GB"/>
        </w:rPr>
        <w:t>Ju</w:t>
      </w:r>
      <w:r w:rsidR="005B0D56" w:rsidRPr="003F56FC">
        <w:rPr>
          <w:bCs/>
          <w:lang w:val="en-GB"/>
        </w:rPr>
        <w:t>ly</w:t>
      </w:r>
      <w:r w:rsidRPr="003F56FC">
        <w:rPr>
          <w:bCs/>
          <w:lang w:val="en-GB"/>
        </w:rPr>
        <w:t xml:space="preserve"> 1999</w:t>
      </w:r>
      <w:r w:rsidR="005B0D56" w:rsidRPr="003F56FC">
        <w:rPr>
          <w:bCs/>
          <w:lang w:val="en-GB"/>
        </w:rPr>
        <w:t>”,</w:t>
      </w:r>
      <w:r w:rsidRPr="003F56FC">
        <w:rPr>
          <w:bCs/>
          <w:lang w:val="en-GB"/>
        </w:rPr>
        <w:t xml:space="preserve"> “Sufficient Reference Samples Collected” and “DNA match not found.</w:t>
      </w:r>
      <w:r w:rsidRPr="003F56FC">
        <w:rPr>
          <w:color w:val="464646"/>
        </w:rPr>
        <w:t>”</w:t>
      </w:r>
      <w:bookmarkEnd w:id="20"/>
    </w:p>
    <w:p w:rsidR="00AE425E" w:rsidRPr="000D0C3A" w:rsidRDefault="00AE425E" w:rsidP="000B3F6A">
      <w:pPr>
        <w:jc w:val="both"/>
        <w:rPr>
          <w:b/>
          <w:lang w:val="en-GB"/>
        </w:rPr>
      </w:pPr>
    </w:p>
    <w:p w:rsidR="00C0731E" w:rsidRPr="000D0C3A" w:rsidRDefault="00C0731E" w:rsidP="003D4233">
      <w:pPr>
        <w:pStyle w:val="ColorfulList-Accent11"/>
        <w:numPr>
          <w:ilvl w:val="0"/>
          <w:numId w:val="3"/>
        </w:numPr>
        <w:autoSpaceDE w:val="0"/>
        <w:jc w:val="both"/>
        <w:rPr>
          <w:b/>
          <w:lang w:val="en-GB"/>
        </w:rPr>
      </w:pPr>
      <w:r w:rsidRPr="000D0C3A">
        <w:rPr>
          <w:b/>
          <w:lang w:val="en-GB"/>
        </w:rPr>
        <w:t xml:space="preserve">The </w:t>
      </w:r>
      <w:r w:rsidRPr="000D0C3A">
        <w:rPr>
          <w:b/>
          <w:bCs/>
          <w:lang w:val="en-GB"/>
        </w:rPr>
        <w:t>investigation</w:t>
      </w:r>
    </w:p>
    <w:p w:rsidR="00C0731E" w:rsidRPr="000D0C3A" w:rsidRDefault="00C0731E" w:rsidP="00C0731E">
      <w:pPr>
        <w:pStyle w:val="ColorfulList-Accent11"/>
        <w:jc w:val="both"/>
        <w:rPr>
          <w:i/>
          <w:lang w:val="en-GB"/>
        </w:rPr>
      </w:pPr>
    </w:p>
    <w:p w:rsidR="000E6180" w:rsidRPr="000D0C3A" w:rsidRDefault="000E6180" w:rsidP="00F0555D">
      <w:pPr>
        <w:pStyle w:val="ColorfulList-Accent11"/>
        <w:numPr>
          <w:ilvl w:val="0"/>
          <w:numId w:val="14"/>
        </w:numPr>
        <w:ind w:left="270" w:hanging="270"/>
        <w:jc w:val="both"/>
        <w:rPr>
          <w:i/>
          <w:lang w:val="en-GB"/>
        </w:rPr>
      </w:pPr>
      <w:r w:rsidRPr="000D0C3A">
        <w:rPr>
          <w:i/>
          <w:lang w:val="en-GB"/>
        </w:rPr>
        <w:t>Disclosure of relevant files</w:t>
      </w:r>
    </w:p>
    <w:p w:rsidR="000E6180" w:rsidRPr="000D0C3A" w:rsidRDefault="000E6180" w:rsidP="00C0731E">
      <w:pPr>
        <w:pStyle w:val="ColorfulList-Accent11"/>
        <w:jc w:val="both"/>
        <w:rPr>
          <w:i/>
          <w:lang w:val="en-GB"/>
        </w:rPr>
      </w:pPr>
    </w:p>
    <w:p w:rsidR="00EB1F94" w:rsidRPr="00C5394C" w:rsidRDefault="00933399" w:rsidP="00E025EE">
      <w:pPr>
        <w:widowControl w:val="0"/>
        <w:numPr>
          <w:ilvl w:val="0"/>
          <w:numId w:val="2"/>
        </w:numPr>
        <w:tabs>
          <w:tab w:val="clear" w:pos="810"/>
          <w:tab w:val="left" w:pos="360"/>
          <w:tab w:val="left" w:pos="1080"/>
        </w:tabs>
        <w:suppressAutoHyphens/>
        <w:ind w:left="360"/>
        <w:jc w:val="both"/>
        <w:rPr>
          <w:lang w:val="en-GB"/>
        </w:rPr>
      </w:pPr>
      <w:bookmarkStart w:id="21" w:name="_Ref398292585"/>
      <w:r w:rsidRPr="000D0C3A">
        <w:rPr>
          <w:lang w:val="en-GB"/>
        </w:rPr>
        <w:t>In the present case, the Panel received from UNMIK investigative documents previously held by the UNMIK OMP</w:t>
      </w:r>
      <w:r w:rsidR="00A4704B" w:rsidRPr="000D0C3A">
        <w:rPr>
          <w:lang w:val="en-GB"/>
        </w:rPr>
        <w:t>F and</w:t>
      </w:r>
      <w:r w:rsidR="00B31CF4" w:rsidRPr="000D0C3A">
        <w:rPr>
          <w:lang w:val="en-GB"/>
        </w:rPr>
        <w:t xml:space="preserve"> the</w:t>
      </w:r>
      <w:r w:rsidR="00A4704B" w:rsidRPr="000D0C3A">
        <w:rPr>
          <w:lang w:val="en-GB"/>
        </w:rPr>
        <w:t xml:space="preserve"> UNMIK Police WC</w:t>
      </w:r>
      <w:r w:rsidR="00497EA4" w:rsidRPr="000D0C3A">
        <w:rPr>
          <w:lang w:val="en-GB"/>
        </w:rPr>
        <w:t>I</w:t>
      </w:r>
      <w:r w:rsidR="00A4704B" w:rsidRPr="000D0C3A">
        <w:rPr>
          <w:lang w:val="en-GB"/>
        </w:rPr>
        <w:t>U</w:t>
      </w:r>
      <w:r w:rsidR="00EB1F94">
        <w:rPr>
          <w:lang w:val="en-GB"/>
        </w:rPr>
        <w:t>, obtained by UNMIK from EULEX</w:t>
      </w:r>
      <w:r w:rsidRPr="000D0C3A">
        <w:rPr>
          <w:lang w:val="en-GB"/>
        </w:rPr>
        <w:t>.</w:t>
      </w:r>
      <w:r w:rsidR="00320180" w:rsidRPr="000D0C3A">
        <w:rPr>
          <w:lang w:val="en-GB"/>
        </w:rPr>
        <w:t xml:space="preserve"> In addition, on 17 December 2012, the Panel received some investigative </w:t>
      </w:r>
      <w:r w:rsidR="00320180" w:rsidRPr="000D0C3A">
        <w:t>documents in relation to the investigation into</w:t>
      </w:r>
      <w:r w:rsidR="00407CDC">
        <w:t xml:space="preserve"> </w:t>
      </w:r>
      <w:r w:rsidR="00407CDC" w:rsidRPr="00C5394C">
        <w:t>the</w:t>
      </w:r>
      <w:r w:rsidR="00320180" w:rsidRPr="00C5394C">
        <w:t xml:space="preserve"> </w:t>
      </w:r>
      <w:r w:rsidR="00407CDC" w:rsidRPr="00C5394C">
        <w:t xml:space="preserve">abduction and disappearance of Mr Radovan </w:t>
      </w:r>
      <w:proofErr w:type="spellStart"/>
      <w:r w:rsidR="00407CDC" w:rsidRPr="00C5394C">
        <w:t>Šutaković</w:t>
      </w:r>
      <w:proofErr w:type="spellEnd"/>
      <w:r w:rsidR="00407CDC" w:rsidRPr="00C5394C">
        <w:t xml:space="preserve">, Mr </w:t>
      </w:r>
      <w:proofErr w:type="spellStart"/>
      <w:r w:rsidR="00407CDC" w:rsidRPr="00C5394C">
        <w:t>Ðorđe</w:t>
      </w:r>
      <w:proofErr w:type="spellEnd"/>
      <w:r w:rsidR="00407CDC" w:rsidRPr="00C5394C">
        <w:t xml:space="preserve"> </w:t>
      </w:r>
      <w:proofErr w:type="spellStart"/>
      <w:r w:rsidR="00407CDC" w:rsidRPr="00C5394C">
        <w:t>Šutaković</w:t>
      </w:r>
      <w:proofErr w:type="spellEnd"/>
      <w:r w:rsidR="00407CDC" w:rsidRPr="00C5394C">
        <w:t xml:space="preserve"> and </w:t>
      </w:r>
      <w:r w:rsidR="00320180" w:rsidRPr="00C5394C">
        <w:t xml:space="preserve">Mr </w:t>
      </w:r>
      <w:proofErr w:type="spellStart"/>
      <w:r w:rsidR="00407CDC" w:rsidRPr="00C5394C">
        <w:t>Milenko</w:t>
      </w:r>
      <w:proofErr w:type="spellEnd"/>
      <w:r w:rsidR="00407CDC" w:rsidRPr="00C5394C">
        <w:t xml:space="preserve"> </w:t>
      </w:r>
      <w:proofErr w:type="spellStart"/>
      <w:r w:rsidR="00407CDC" w:rsidRPr="00C5394C">
        <w:t>Kabaš</w:t>
      </w:r>
      <w:proofErr w:type="spellEnd"/>
      <w:r w:rsidR="00320180" w:rsidRPr="00C5394C">
        <w:t>, which were returned from the UN Headquarters’ archives</w:t>
      </w:r>
      <w:r w:rsidR="00EA15E9" w:rsidRPr="00C5394C">
        <w:t xml:space="preserve"> in New York</w:t>
      </w:r>
      <w:r w:rsidR="00320180" w:rsidRPr="00C5394C">
        <w:t xml:space="preserve"> (see </w:t>
      </w:r>
      <w:r w:rsidR="00407CDC" w:rsidRPr="00C5394C">
        <w:t>§</w:t>
      </w:r>
      <w:r w:rsidR="00320180" w:rsidRPr="00C5394C">
        <w:t>§</w:t>
      </w:r>
      <w:r w:rsidR="00407CDC" w:rsidRPr="00C5394C">
        <w:t xml:space="preserve"> </w:t>
      </w:r>
      <w:r w:rsidR="0037719A">
        <w:fldChar w:fldCharType="begin"/>
      </w:r>
      <w:r w:rsidR="0037719A">
        <w:instrText xml:space="preserve"> REF _Ref404178818 \r \h  \* MERGEFORMAT </w:instrText>
      </w:r>
      <w:r w:rsidR="0037719A">
        <w:fldChar w:fldCharType="separate"/>
      </w:r>
      <w:r w:rsidR="00A35759">
        <w:t>32</w:t>
      </w:r>
      <w:r w:rsidR="0037719A">
        <w:fldChar w:fldCharType="end"/>
      </w:r>
      <w:r w:rsidR="00407CDC" w:rsidRPr="00C5394C">
        <w:t xml:space="preserve"> -</w:t>
      </w:r>
      <w:r w:rsidR="002F739D" w:rsidRPr="00C5394C">
        <w:t xml:space="preserve"> </w:t>
      </w:r>
      <w:r w:rsidR="0037719A">
        <w:fldChar w:fldCharType="begin"/>
      </w:r>
      <w:r w:rsidR="0037719A">
        <w:instrText xml:space="preserve"> REF _Ref372640476 \r \h  \* MERGEFORMAT </w:instrText>
      </w:r>
      <w:r w:rsidR="0037719A">
        <w:fldChar w:fldCharType="separate"/>
      </w:r>
      <w:r w:rsidR="00A35759">
        <w:t>33</w:t>
      </w:r>
      <w:r w:rsidR="0037719A">
        <w:fldChar w:fldCharType="end"/>
      </w:r>
      <w:r w:rsidR="00320180" w:rsidRPr="00C5394C">
        <w:t xml:space="preserve"> above).</w:t>
      </w:r>
      <w:r w:rsidR="00320180" w:rsidRPr="00C5394C">
        <w:rPr>
          <w:lang w:val="en-GB"/>
        </w:rPr>
        <w:t xml:space="preserve"> </w:t>
      </w:r>
      <w:r w:rsidR="00EB1F94" w:rsidRPr="00C5394C">
        <w:rPr>
          <w:color w:val="000000"/>
        </w:rPr>
        <w:t>Although the SRSG suggested that more documents in relation to this case may exist, on 20 November 2014, UNMIK confirmed to the Panel that no more files have been obtained.</w:t>
      </w:r>
      <w:bookmarkEnd w:id="21"/>
    </w:p>
    <w:p w:rsidR="00901BB9" w:rsidRPr="000D0C3A" w:rsidRDefault="00EB1F94" w:rsidP="00E025EE">
      <w:pPr>
        <w:widowControl w:val="0"/>
        <w:tabs>
          <w:tab w:val="left" w:pos="360"/>
          <w:tab w:val="left" w:pos="1080"/>
        </w:tabs>
        <w:suppressAutoHyphens/>
        <w:ind w:left="360"/>
        <w:jc w:val="both"/>
        <w:rPr>
          <w:lang w:val="en-GB"/>
        </w:rPr>
      </w:pPr>
      <w:r w:rsidRPr="000D0C3A">
        <w:rPr>
          <w:lang w:val="en-GB"/>
        </w:rPr>
        <w:t xml:space="preserve"> </w:t>
      </w:r>
    </w:p>
    <w:p w:rsidR="00E07FDD" w:rsidRPr="000D0C3A" w:rsidRDefault="00933399" w:rsidP="00E025EE">
      <w:pPr>
        <w:pStyle w:val="ColorfulList-Accent11"/>
        <w:numPr>
          <w:ilvl w:val="0"/>
          <w:numId w:val="2"/>
        </w:numPr>
        <w:tabs>
          <w:tab w:val="clear" w:pos="810"/>
          <w:tab w:val="num" w:pos="540"/>
        </w:tabs>
        <w:suppressAutoHyphens w:val="0"/>
        <w:ind w:left="360"/>
        <w:contextualSpacing/>
        <w:jc w:val="both"/>
        <w:rPr>
          <w:lang w:val="en-GB"/>
        </w:rPr>
      </w:pPr>
      <w:r w:rsidRPr="000D0C3A">
        <w:rPr>
          <w:lang w:val="en-GB"/>
        </w:rPr>
        <w:t xml:space="preserve">Concerning disclosure of </w:t>
      </w:r>
      <w:r w:rsidR="00320180" w:rsidRPr="000D0C3A">
        <w:rPr>
          <w:lang w:val="en-GB"/>
        </w:rPr>
        <w:t xml:space="preserve">the </w:t>
      </w:r>
      <w:r w:rsidRPr="000D0C3A">
        <w:rPr>
          <w:lang w:val="en-GB"/>
        </w:rPr>
        <w:t>information contained in the file</w:t>
      </w:r>
      <w:r w:rsidR="00263ED3" w:rsidRPr="000D0C3A">
        <w:rPr>
          <w:lang w:val="en-GB"/>
        </w:rPr>
        <w:t>s</w:t>
      </w:r>
      <w:r w:rsidRPr="000D0C3A">
        <w:rPr>
          <w:lang w:val="en-GB"/>
        </w:rPr>
        <w:t>, the Panel recalls that UNMIK has made available investigative files for the Panel’s review under a pled</w:t>
      </w:r>
      <w:r w:rsidR="00831694" w:rsidRPr="000D0C3A">
        <w:rPr>
          <w:lang w:val="en-GB"/>
        </w:rPr>
        <w:t>ge of confidentiality</w:t>
      </w:r>
      <w:r w:rsidRPr="000D0C3A">
        <w:rPr>
          <w:lang w:val="en-GB"/>
        </w:rPr>
        <w:t>. In this regard, the Panel must clarify that</w:t>
      </w:r>
      <w:r w:rsidR="00831694" w:rsidRPr="000D0C3A">
        <w:rPr>
          <w:lang w:val="en-GB"/>
        </w:rPr>
        <w:t>,</w:t>
      </w:r>
      <w:r w:rsidRPr="000D0C3A">
        <w:rPr>
          <w:lang w:val="en-GB"/>
        </w:rPr>
        <w:t xml:space="preserve"> although its assessment of the present case stems from a thorough examination of the available documentation, only limited </w:t>
      </w:r>
      <w:r w:rsidRPr="000D0C3A">
        <w:rPr>
          <w:lang w:val="en-GB"/>
        </w:rPr>
        <w:lastRenderedPageBreak/>
        <w:t>information contained therein is disclosed. Hence a sy</w:t>
      </w:r>
      <w:r w:rsidR="004A55AD" w:rsidRPr="000D0C3A">
        <w:rPr>
          <w:lang w:val="en-GB"/>
        </w:rPr>
        <w:t>nopsis of relevant investigative</w:t>
      </w:r>
      <w:r w:rsidRPr="000D0C3A">
        <w:rPr>
          <w:lang w:val="en-GB"/>
        </w:rPr>
        <w:t xml:space="preserve"> steps taken by investigative authorities is provided in the paragraphs to follow.  </w:t>
      </w:r>
    </w:p>
    <w:p w:rsidR="00641D5D" w:rsidRPr="000D0C3A" w:rsidRDefault="00641D5D" w:rsidP="00CA6855">
      <w:pPr>
        <w:ind w:left="360"/>
        <w:jc w:val="both"/>
        <w:rPr>
          <w:color w:val="FF0000"/>
        </w:rPr>
      </w:pPr>
    </w:p>
    <w:p w:rsidR="00320180" w:rsidRPr="00E137E7" w:rsidRDefault="00637E9B" w:rsidP="00F0555D">
      <w:pPr>
        <w:pStyle w:val="ColorfulList-Accent11"/>
        <w:numPr>
          <w:ilvl w:val="0"/>
          <w:numId w:val="14"/>
        </w:numPr>
        <w:tabs>
          <w:tab w:val="num" w:pos="270"/>
        </w:tabs>
        <w:ind w:left="270" w:hanging="270"/>
        <w:jc w:val="both"/>
        <w:rPr>
          <w:i/>
          <w:color w:val="000000" w:themeColor="text1"/>
          <w:lang w:val="en-GB"/>
        </w:rPr>
      </w:pPr>
      <w:r w:rsidRPr="00E137E7">
        <w:rPr>
          <w:i/>
          <w:color w:val="000000" w:themeColor="text1"/>
          <w:lang w:val="en-GB"/>
        </w:rPr>
        <w:t>Investigation in</w:t>
      </w:r>
      <w:r w:rsidR="00051EBE" w:rsidRPr="00E137E7">
        <w:rPr>
          <w:i/>
          <w:color w:val="000000" w:themeColor="text1"/>
          <w:lang w:val="en-GB"/>
        </w:rPr>
        <w:t xml:space="preserve"> relation to Mrs </w:t>
      </w:r>
      <w:proofErr w:type="spellStart"/>
      <w:r w:rsidR="00051EBE" w:rsidRPr="00E137E7">
        <w:rPr>
          <w:i/>
          <w:color w:val="000000" w:themeColor="text1"/>
          <w:lang w:val="en-GB"/>
        </w:rPr>
        <w:t>Darinka</w:t>
      </w:r>
      <w:proofErr w:type="spellEnd"/>
      <w:r w:rsidR="00051EBE" w:rsidRPr="00E137E7">
        <w:rPr>
          <w:i/>
          <w:color w:val="000000" w:themeColor="text1"/>
          <w:lang w:val="en-GB"/>
        </w:rPr>
        <w:t xml:space="preserve"> </w:t>
      </w:r>
      <w:proofErr w:type="spellStart"/>
      <w:r w:rsidR="00051EBE" w:rsidRPr="00E137E7">
        <w:rPr>
          <w:i/>
          <w:color w:val="000000" w:themeColor="text1"/>
          <w:lang w:val="en-GB"/>
        </w:rPr>
        <w:t>Šutaković</w:t>
      </w:r>
      <w:proofErr w:type="spellEnd"/>
      <w:r w:rsidR="00051EBE" w:rsidRPr="00E137E7">
        <w:rPr>
          <w:i/>
          <w:color w:val="000000" w:themeColor="text1"/>
          <w:lang w:val="en-GB"/>
        </w:rPr>
        <w:t xml:space="preserve">, Mr </w:t>
      </w:r>
      <w:proofErr w:type="spellStart"/>
      <w:r w:rsidR="00051EBE" w:rsidRPr="00E137E7">
        <w:rPr>
          <w:i/>
          <w:color w:val="000000" w:themeColor="text1"/>
          <w:lang w:val="en-GB"/>
        </w:rPr>
        <w:t>Nedeljko</w:t>
      </w:r>
      <w:proofErr w:type="spellEnd"/>
      <w:r w:rsidR="00051EBE" w:rsidRPr="00E137E7">
        <w:rPr>
          <w:i/>
          <w:color w:val="000000" w:themeColor="text1"/>
          <w:lang w:val="en-GB"/>
        </w:rPr>
        <w:t xml:space="preserve"> </w:t>
      </w:r>
      <w:proofErr w:type="spellStart"/>
      <w:r w:rsidR="00051EBE" w:rsidRPr="00E137E7">
        <w:rPr>
          <w:i/>
          <w:color w:val="000000" w:themeColor="text1"/>
          <w:lang w:val="en-GB"/>
        </w:rPr>
        <w:t>Šutaković</w:t>
      </w:r>
      <w:proofErr w:type="spellEnd"/>
      <w:r w:rsidR="00051EBE" w:rsidRPr="00E137E7">
        <w:rPr>
          <w:i/>
          <w:color w:val="000000" w:themeColor="text1"/>
          <w:lang w:val="en-GB"/>
        </w:rPr>
        <w:t xml:space="preserve">, Mr Radovan </w:t>
      </w:r>
      <w:proofErr w:type="spellStart"/>
      <w:r w:rsidR="00051EBE" w:rsidRPr="00E137E7">
        <w:rPr>
          <w:i/>
          <w:color w:val="000000" w:themeColor="text1"/>
          <w:lang w:val="en-GB"/>
        </w:rPr>
        <w:t>Šutaković</w:t>
      </w:r>
      <w:proofErr w:type="spellEnd"/>
      <w:r w:rsidR="00051EBE" w:rsidRPr="00E137E7">
        <w:rPr>
          <w:i/>
          <w:color w:val="000000" w:themeColor="text1"/>
          <w:lang w:val="en-GB"/>
        </w:rPr>
        <w:t xml:space="preserve">, Mr </w:t>
      </w:r>
      <w:proofErr w:type="spellStart"/>
      <w:r w:rsidR="00051EBE" w:rsidRPr="00E137E7">
        <w:rPr>
          <w:i/>
          <w:color w:val="000000" w:themeColor="text1"/>
          <w:lang w:val="en-GB"/>
        </w:rPr>
        <w:t>Ðorđe</w:t>
      </w:r>
      <w:proofErr w:type="spellEnd"/>
      <w:r w:rsidR="00051EBE" w:rsidRPr="00E137E7">
        <w:rPr>
          <w:i/>
          <w:color w:val="000000" w:themeColor="text1"/>
          <w:lang w:val="en-GB"/>
        </w:rPr>
        <w:t xml:space="preserve"> </w:t>
      </w:r>
      <w:proofErr w:type="spellStart"/>
      <w:r w:rsidR="00051EBE" w:rsidRPr="00E137E7">
        <w:rPr>
          <w:i/>
          <w:color w:val="000000" w:themeColor="text1"/>
          <w:lang w:val="en-GB"/>
        </w:rPr>
        <w:t>Šutaković</w:t>
      </w:r>
      <w:proofErr w:type="spellEnd"/>
      <w:r w:rsidR="00051EBE" w:rsidRPr="00E137E7">
        <w:rPr>
          <w:i/>
          <w:color w:val="000000" w:themeColor="text1"/>
          <w:lang w:val="en-GB"/>
        </w:rPr>
        <w:t xml:space="preserve"> and Mr </w:t>
      </w:r>
      <w:proofErr w:type="spellStart"/>
      <w:r w:rsidR="00051EBE" w:rsidRPr="00E137E7">
        <w:rPr>
          <w:i/>
          <w:color w:val="000000" w:themeColor="text1"/>
          <w:lang w:val="en-GB"/>
        </w:rPr>
        <w:t>Aleksandar</w:t>
      </w:r>
      <w:proofErr w:type="spellEnd"/>
      <w:r w:rsidR="00051EBE" w:rsidRPr="00E137E7">
        <w:rPr>
          <w:i/>
          <w:color w:val="000000" w:themeColor="text1"/>
          <w:lang w:val="en-GB"/>
        </w:rPr>
        <w:t xml:space="preserve"> </w:t>
      </w:r>
      <w:proofErr w:type="spellStart"/>
      <w:r w:rsidR="00051EBE" w:rsidRPr="00E137E7">
        <w:rPr>
          <w:i/>
          <w:color w:val="000000" w:themeColor="text1"/>
          <w:lang w:val="en-GB"/>
        </w:rPr>
        <w:t>Šutaković</w:t>
      </w:r>
      <w:proofErr w:type="spellEnd"/>
    </w:p>
    <w:p w:rsidR="00320180" w:rsidRPr="004B4A37" w:rsidRDefault="00320180" w:rsidP="00320180">
      <w:pPr>
        <w:jc w:val="both"/>
        <w:rPr>
          <w:lang w:val="en-GB"/>
        </w:rPr>
      </w:pPr>
    </w:p>
    <w:p w:rsidR="00AB348F" w:rsidRPr="00CD25DA" w:rsidRDefault="00CD25DA" w:rsidP="00E025EE">
      <w:pPr>
        <w:widowControl w:val="0"/>
        <w:numPr>
          <w:ilvl w:val="0"/>
          <w:numId w:val="2"/>
        </w:numPr>
        <w:tabs>
          <w:tab w:val="clear" w:pos="810"/>
          <w:tab w:val="left" w:pos="360"/>
          <w:tab w:val="left" w:pos="1080"/>
        </w:tabs>
        <w:suppressAutoHyphens/>
        <w:ind w:left="360"/>
        <w:jc w:val="both"/>
        <w:rPr>
          <w:lang w:val="en-GB"/>
        </w:rPr>
      </w:pPr>
      <w:bookmarkStart w:id="22" w:name="_Ref404607342"/>
      <w:bookmarkStart w:id="23" w:name="_Ref406572195"/>
      <w:bookmarkStart w:id="24" w:name="_Ref392511369"/>
      <w:r w:rsidRPr="00CD25DA">
        <w:rPr>
          <w:lang w:val="en-GB"/>
        </w:rPr>
        <w:t xml:space="preserve">The OMPF </w:t>
      </w:r>
      <w:r w:rsidR="006A3DDA">
        <w:rPr>
          <w:lang w:val="en-GB"/>
        </w:rPr>
        <w:t xml:space="preserve">file </w:t>
      </w:r>
      <w:r w:rsidRPr="00CD25DA">
        <w:rPr>
          <w:lang w:val="en-GB"/>
        </w:rPr>
        <w:t xml:space="preserve">in relation to Mrs </w:t>
      </w:r>
      <w:proofErr w:type="spellStart"/>
      <w:r w:rsidRPr="00CD25DA">
        <w:rPr>
          <w:lang w:val="en-GB"/>
        </w:rPr>
        <w:t>Darinka</w:t>
      </w:r>
      <w:proofErr w:type="spellEnd"/>
      <w:r w:rsidRPr="00CD25DA">
        <w:rPr>
          <w:lang w:val="en-GB"/>
        </w:rPr>
        <w:t xml:space="preserve"> </w:t>
      </w:r>
      <w:proofErr w:type="spellStart"/>
      <w:r w:rsidRPr="00CD25DA">
        <w:rPr>
          <w:lang w:val="en-GB"/>
        </w:rPr>
        <w:t>Šutaković</w:t>
      </w:r>
      <w:proofErr w:type="spellEnd"/>
      <w:r w:rsidRPr="00CD25DA">
        <w:rPr>
          <w:lang w:val="en-GB"/>
        </w:rPr>
        <w:t xml:space="preserve">, Mr </w:t>
      </w:r>
      <w:proofErr w:type="spellStart"/>
      <w:r w:rsidRPr="00CD25DA">
        <w:rPr>
          <w:lang w:val="en-GB"/>
        </w:rPr>
        <w:t>Nedeljko</w:t>
      </w:r>
      <w:proofErr w:type="spellEnd"/>
      <w:r w:rsidRPr="00CD25DA">
        <w:rPr>
          <w:lang w:val="en-GB"/>
        </w:rPr>
        <w:t xml:space="preserve"> </w:t>
      </w:r>
      <w:proofErr w:type="spellStart"/>
      <w:r w:rsidRPr="00CD25DA">
        <w:rPr>
          <w:lang w:val="en-GB"/>
        </w:rPr>
        <w:t>Šutaković</w:t>
      </w:r>
      <w:proofErr w:type="spellEnd"/>
      <w:r w:rsidRPr="00CD25DA">
        <w:rPr>
          <w:lang w:val="en-GB"/>
        </w:rPr>
        <w:t xml:space="preserve">, Mr Radovan </w:t>
      </w:r>
      <w:proofErr w:type="spellStart"/>
      <w:r w:rsidRPr="00CD25DA">
        <w:rPr>
          <w:lang w:val="en-GB"/>
        </w:rPr>
        <w:t>Šutaković</w:t>
      </w:r>
      <w:proofErr w:type="spellEnd"/>
      <w:r w:rsidRPr="00CD25DA">
        <w:rPr>
          <w:lang w:val="en-GB"/>
        </w:rPr>
        <w:t xml:space="preserve">, Mr </w:t>
      </w:r>
      <w:proofErr w:type="spellStart"/>
      <w:r w:rsidRPr="00CD25DA">
        <w:rPr>
          <w:lang w:val="en-GB"/>
        </w:rPr>
        <w:t>Ðorđe</w:t>
      </w:r>
      <w:proofErr w:type="spellEnd"/>
      <w:r w:rsidRPr="00CD25DA">
        <w:rPr>
          <w:lang w:val="en-GB"/>
        </w:rPr>
        <w:t xml:space="preserve"> </w:t>
      </w:r>
      <w:proofErr w:type="spellStart"/>
      <w:r w:rsidRPr="00CD25DA">
        <w:rPr>
          <w:lang w:val="en-GB"/>
        </w:rPr>
        <w:t>Šutaković</w:t>
      </w:r>
      <w:proofErr w:type="spellEnd"/>
      <w:r w:rsidRPr="00CD25DA">
        <w:rPr>
          <w:lang w:val="en-GB"/>
        </w:rPr>
        <w:t xml:space="preserve"> and Mr </w:t>
      </w:r>
      <w:proofErr w:type="spellStart"/>
      <w:r w:rsidRPr="00CD25DA">
        <w:rPr>
          <w:lang w:val="en-GB"/>
        </w:rPr>
        <w:t>Aleksandar</w:t>
      </w:r>
      <w:proofErr w:type="spellEnd"/>
      <w:r w:rsidRPr="00CD25DA">
        <w:rPr>
          <w:lang w:val="en-GB"/>
        </w:rPr>
        <w:t xml:space="preserve"> </w:t>
      </w:r>
      <w:proofErr w:type="spellStart"/>
      <w:r w:rsidRPr="00CD25DA">
        <w:rPr>
          <w:lang w:val="en-GB"/>
        </w:rPr>
        <w:t>Šutaković</w:t>
      </w:r>
      <w:proofErr w:type="spellEnd"/>
      <w:r w:rsidRPr="00CD25DA">
        <w:rPr>
          <w:lang w:val="en-GB"/>
        </w:rPr>
        <w:t xml:space="preserve"> </w:t>
      </w:r>
      <w:r w:rsidR="00051EBE" w:rsidRPr="00CD25DA">
        <w:rPr>
          <w:lang w:val="en-GB"/>
        </w:rPr>
        <w:t xml:space="preserve">contains </w:t>
      </w:r>
      <w:r w:rsidR="006A3DDA">
        <w:rPr>
          <w:lang w:val="en-GB"/>
        </w:rPr>
        <w:t>five</w:t>
      </w:r>
      <w:r w:rsidR="00AB348F" w:rsidRPr="00CD25DA">
        <w:rPr>
          <w:lang w:val="en-GB"/>
        </w:rPr>
        <w:t xml:space="preserve"> </w:t>
      </w:r>
      <w:r w:rsidR="00E137E7">
        <w:rPr>
          <w:lang w:val="en-GB"/>
        </w:rPr>
        <w:t xml:space="preserve">handwritten </w:t>
      </w:r>
      <w:r w:rsidR="000B1FE4">
        <w:rPr>
          <w:lang w:val="en-GB"/>
        </w:rPr>
        <w:t xml:space="preserve">undated </w:t>
      </w:r>
      <w:r w:rsidR="00051EBE" w:rsidRPr="00CD25DA">
        <w:rPr>
          <w:lang w:val="en-GB"/>
        </w:rPr>
        <w:t>Victim Identification Forms</w:t>
      </w:r>
      <w:r w:rsidR="000B1FE4">
        <w:rPr>
          <w:lang w:val="en-GB"/>
        </w:rPr>
        <w:t>.</w:t>
      </w:r>
      <w:r w:rsidR="00AB348F" w:rsidRPr="00CD25DA">
        <w:rPr>
          <w:lang w:val="en-GB"/>
        </w:rPr>
        <w:t xml:space="preserve"> No photographs or identification documents are attached to any </w:t>
      </w:r>
      <w:r w:rsidR="00E137E7">
        <w:rPr>
          <w:lang w:val="en-GB"/>
        </w:rPr>
        <w:t>of</w:t>
      </w:r>
      <w:r w:rsidR="00AB348F" w:rsidRPr="00CD25DA">
        <w:rPr>
          <w:lang w:val="en-GB"/>
        </w:rPr>
        <w:t xml:space="preserve"> these forms</w:t>
      </w:r>
      <w:bookmarkEnd w:id="22"/>
      <w:r w:rsidR="006A3DDA">
        <w:rPr>
          <w:lang w:val="en-GB"/>
        </w:rPr>
        <w:t>:</w:t>
      </w:r>
      <w:bookmarkEnd w:id="23"/>
    </w:p>
    <w:p w:rsidR="0027069B" w:rsidRDefault="0027069B" w:rsidP="0027069B">
      <w:pPr>
        <w:pStyle w:val="ColorfulList-Accent11"/>
        <w:suppressAutoHyphens w:val="0"/>
        <w:ind w:left="360"/>
        <w:contextualSpacing/>
        <w:jc w:val="both"/>
        <w:rPr>
          <w:lang w:val="en-GB"/>
        </w:rPr>
      </w:pPr>
    </w:p>
    <w:p w:rsidR="00051EBE" w:rsidRPr="00935518" w:rsidRDefault="00051EBE" w:rsidP="006A3DDA">
      <w:pPr>
        <w:pStyle w:val="ColorfulList-Accent11"/>
        <w:numPr>
          <w:ilvl w:val="0"/>
          <w:numId w:val="17"/>
        </w:numPr>
        <w:tabs>
          <w:tab w:val="num" w:pos="540"/>
        </w:tabs>
        <w:spacing w:after="120"/>
        <w:ind w:left="547" w:hanging="187"/>
        <w:jc w:val="both"/>
        <w:rPr>
          <w:lang w:val="en-GB"/>
        </w:rPr>
      </w:pPr>
      <w:r>
        <w:rPr>
          <w:lang w:val="en-GB"/>
        </w:rPr>
        <w:t xml:space="preserve">The form </w:t>
      </w:r>
      <w:r w:rsidRPr="00935518">
        <w:rPr>
          <w:lang w:val="en-GB"/>
        </w:rPr>
        <w:t xml:space="preserve">in relation to Mrs </w:t>
      </w:r>
      <w:proofErr w:type="spellStart"/>
      <w:r w:rsidRPr="00935518">
        <w:rPr>
          <w:lang w:val="en-GB"/>
        </w:rPr>
        <w:t>Darinka</w:t>
      </w:r>
      <w:proofErr w:type="spellEnd"/>
      <w:r w:rsidRPr="00935518">
        <w:rPr>
          <w:lang w:val="en-GB"/>
        </w:rPr>
        <w:t xml:space="preserve"> </w:t>
      </w:r>
      <w:proofErr w:type="spellStart"/>
      <w:r w:rsidRPr="00935518">
        <w:rPr>
          <w:lang w:val="en-GB"/>
        </w:rPr>
        <w:t>Šutaković</w:t>
      </w:r>
      <w:proofErr w:type="spellEnd"/>
      <w:r w:rsidRPr="00935518">
        <w:rPr>
          <w:lang w:val="en-GB"/>
        </w:rPr>
        <w:t xml:space="preserve">, apparently completed by the ICRC, provides her brief physical description and provides </w:t>
      </w:r>
      <w:r w:rsidR="0027069B" w:rsidRPr="00935518">
        <w:rPr>
          <w:lang w:val="en-GB"/>
        </w:rPr>
        <w:t xml:space="preserve">the </w:t>
      </w:r>
      <w:r w:rsidRPr="00935518">
        <w:rPr>
          <w:lang w:val="en-GB"/>
        </w:rPr>
        <w:t xml:space="preserve">name </w:t>
      </w:r>
      <w:r w:rsidR="0027069B" w:rsidRPr="00935518">
        <w:rPr>
          <w:lang w:val="en-GB"/>
        </w:rPr>
        <w:t xml:space="preserve">and contact details </w:t>
      </w:r>
      <w:r w:rsidRPr="00935518">
        <w:rPr>
          <w:lang w:val="en-GB"/>
        </w:rPr>
        <w:t>of her brother as her next of kin. The form is cross-referenced to the MPU case no. 2003-000</w:t>
      </w:r>
      <w:r w:rsidR="0027069B" w:rsidRPr="00935518">
        <w:rPr>
          <w:lang w:val="en-GB"/>
        </w:rPr>
        <w:t>0</w:t>
      </w:r>
      <w:r w:rsidRPr="00935518">
        <w:rPr>
          <w:lang w:val="en-GB"/>
        </w:rPr>
        <w:t>51.</w:t>
      </w:r>
    </w:p>
    <w:p w:rsidR="00AB348F" w:rsidRPr="00935518" w:rsidRDefault="00AB348F" w:rsidP="006A3DDA">
      <w:pPr>
        <w:pStyle w:val="ColorfulList-Accent11"/>
        <w:numPr>
          <w:ilvl w:val="0"/>
          <w:numId w:val="17"/>
        </w:numPr>
        <w:tabs>
          <w:tab w:val="num" w:pos="540"/>
        </w:tabs>
        <w:spacing w:after="120"/>
        <w:ind w:left="547" w:hanging="187"/>
        <w:jc w:val="both"/>
        <w:rPr>
          <w:lang w:val="en-GB"/>
        </w:rPr>
      </w:pPr>
      <w:r w:rsidRPr="00935518">
        <w:rPr>
          <w:lang w:val="en-GB"/>
        </w:rPr>
        <w:t xml:space="preserve">The form in relation to Mr </w:t>
      </w:r>
      <w:proofErr w:type="spellStart"/>
      <w:r w:rsidRPr="00935518">
        <w:rPr>
          <w:lang w:val="en-GB"/>
        </w:rPr>
        <w:t>Nedeljko</w:t>
      </w:r>
      <w:proofErr w:type="spellEnd"/>
      <w:r w:rsidRPr="00935518">
        <w:rPr>
          <w:lang w:val="en-GB"/>
        </w:rPr>
        <w:t xml:space="preserve"> </w:t>
      </w:r>
      <w:proofErr w:type="spellStart"/>
      <w:r w:rsidRPr="00935518">
        <w:rPr>
          <w:lang w:val="en-GB"/>
        </w:rPr>
        <w:t>Šutaković</w:t>
      </w:r>
      <w:proofErr w:type="spellEnd"/>
      <w:r w:rsidRPr="00935518">
        <w:rPr>
          <w:lang w:val="en-GB"/>
        </w:rPr>
        <w:t>, apparently completed by the ICRC, provides his brief physical description, lists the other four family members as persons who disappeared with him, and provides names and contact details of his nephew and niece, as his next of kin. The form is cross-referenced to the MPU case no. 2003-000640.</w:t>
      </w:r>
    </w:p>
    <w:p w:rsidR="00AB348F" w:rsidRPr="00935518" w:rsidRDefault="00AB348F" w:rsidP="006A3DDA">
      <w:pPr>
        <w:pStyle w:val="ColorfulList-Accent11"/>
        <w:numPr>
          <w:ilvl w:val="0"/>
          <w:numId w:val="17"/>
        </w:numPr>
        <w:tabs>
          <w:tab w:val="num" w:pos="540"/>
        </w:tabs>
        <w:spacing w:after="120"/>
        <w:ind w:left="547" w:hanging="187"/>
        <w:jc w:val="both"/>
        <w:rPr>
          <w:lang w:val="en-GB"/>
        </w:rPr>
      </w:pPr>
      <w:r w:rsidRPr="00935518">
        <w:rPr>
          <w:lang w:val="en-GB"/>
        </w:rPr>
        <w:t xml:space="preserve">The form in relation to Mr Radovan </w:t>
      </w:r>
      <w:proofErr w:type="spellStart"/>
      <w:r w:rsidRPr="00935518">
        <w:rPr>
          <w:lang w:val="en-GB"/>
        </w:rPr>
        <w:t>Šutaković</w:t>
      </w:r>
      <w:proofErr w:type="spellEnd"/>
      <w:r w:rsidRPr="00935518">
        <w:rPr>
          <w:lang w:val="en-GB"/>
        </w:rPr>
        <w:t>, apparently completed by the ICRC, provides his brief physical description and provides the name and contact details of his uncle as his next of kin. The form is cross-referenced to the MPU case no. 2003-000050.</w:t>
      </w:r>
    </w:p>
    <w:p w:rsidR="00AB348F" w:rsidRPr="00935518" w:rsidRDefault="00AB348F" w:rsidP="006A3DDA">
      <w:pPr>
        <w:pStyle w:val="ColorfulList-Accent11"/>
        <w:numPr>
          <w:ilvl w:val="0"/>
          <w:numId w:val="17"/>
        </w:numPr>
        <w:tabs>
          <w:tab w:val="num" w:pos="540"/>
        </w:tabs>
        <w:spacing w:after="120"/>
        <w:ind w:left="547" w:hanging="187"/>
        <w:jc w:val="both"/>
        <w:rPr>
          <w:lang w:val="en-GB"/>
        </w:rPr>
      </w:pPr>
      <w:r w:rsidRPr="00935518">
        <w:rPr>
          <w:lang w:val="en-GB"/>
        </w:rPr>
        <w:t xml:space="preserve">The form in relation to Mr </w:t>
      </w:r>
      <w:proofErr w:type="spellStart"/>
      <w:r w:rsidRPr="00935518">
        <w:rPr>
          <w:lang w:val="en-GB"/>
        </w:rPr>
        <w:t>Ðorđe</w:t>
      </w:r>
      <w:proofErr w:type="spellEnd"/>
      <w:r w:rsidRPr="006A3DDA">
        <w:rPr>
          <w:lang w:val="en-GB"/>
        </w:rPr>
        <w:t xml:space="preserve"> </w:t>
      </w:r>
      <w:proofErr w:type="spellStart"/>
      <w:r w:rsidRPr="00935518">
        <w:rPr>
          <w:lang w:val="en-GB"/>
        </w:rPr>
        <w:t>Šutaković</w:t>
      </w:r>
      <w:proofErr w:type="spellEnd"/>
      <w:r w:rsidRPr="00935518">
        <w:rPr>
          <w:lang w:val="en-GB"/>
        </w:rPr>
        <w:t>, apparently completed by the ICRC, provides his brief physical description and provides the name and contact details of his uncle as his next of kin. The form is cross-referenced to the MPU case no. 2003-000057.</w:t>
      </w:r>
    </w:p>
    <w:p w:rsidR="00AB348F" w:rsidRDefault="00AB348F" w:rsidP="006A3DDA">
      <w:pPr>
        <w:pStyle w:val="ColorfulList-Accent11"/>
        <w:numPr>
          <w:ilvl w:val="0"/>
          <w:numId w:val="17"/>
        </w:numPr>
        <w:tabs>
          <w:tab w:val="num" w:pos="540"/>
        </w:tabs>
        <w:ind w:left="540" w:hanging="180"/>
        <w:jc w:val="both"/>
        <w:rPr>
          <w:lang w:val="en-GB"/>
        </w:rPr>
      </w:pPr>
      <w:r w:rsidRPr="00935518">
        <w:rPr>
          <w:lang w:val="en-GB"/>
        </w:rPr>
        <w:t xml:space="preserve">The form in relation to Mr </w:t>
      </w:r>
      <w:proofErr w:type="spellStart"/>
      <w:r w:rsidRPr="00935518">
        <w:rPr>
          <w:lang w:val="en-GB"/>
        </w:rPr>
        <w:t>Aleksandar</w:t>
      </w:r>
      <w:proofErr w:type="spellEnd"/>
      <w:r w:rsidRPr="006A3DDA">
        <w:rPr>
          <w:lang w:val="en-GB"/>
        </w:rPr>
        <w:t xml:space="preserve"> </w:t>
      </w:r>
      <w:proofErr w:type="spellStart"/>
      <w:r w:rsidRPr="00935518">
        <w:rPr>
          <w:lang w:val="en-GB"/>
        </w:rPr>
        <w:t>Šutaković</w:t>
      </w:r>
      <w:proofErr w:type="spellEnd"/>
      <w:r w:rsidRPr="00935518">
        <w:rPr>
          <w:lang w:val="en-GB"/>
        </w:rPr>
        <w:t>, apparently completed by the ICRC, provides his brief physical description and provides the name and contact details of his uncle as his next of kin. The form is cross-referenced to the MPU case no</w:t>
      </w:r>
      <w:r>
        <w:rPr>
          <w:lang w:val="en-GB"/>
        </w:rPr>
        <w:t>. 2003-000063.</w:t>
      </w:r>
    </w:p>
    <w:p w:rsidR="00CC3A27" w:rsidRPr="004C708E" w:rsidRDefault="00CC3A27" w:rsidP="00CC3A27">
      <w:pPr>
        <w:pStyle w:val="ColorfulList-Accent11"/>
        <w:suppressAutoHyphens w:val="0"/>
        <w:ind w:left="360"/>
        <w:contextualSpacing/>
        <w:jc w:val="both"/>
        <w:rPr>
          <w:lang w:val="en-GB"/>
        </w:rPr>
      </w:pPr>
    </w:p>
    <w:p w:rsidR="00CC3A27" w:rsidRPr="00CD25DA" w:rsidRDefault="00CC3A27" w:rsidP="00E025EE">
      <w:pPr>
        <w:widowControl w:val="0"/>
        <w:numPr>
          <w:ilvl w:val="0"/>
          <w:numId w:val="2"/>
        </w:numPr>
        <w:tabs>
          <w:tab w:val="clear" w:pos="810"/>
          <w:tab w:val="left" w:pos="360"/>
          <w:tab w:val="left" w:pos="1080"/>
        </w:tabs>
        <w:suppressAutoHyphens/>
        <w:ind w:left="360"/>
        <w:jc w:val="both"/>
        <w:rPr>
          <w:lang w:val="en-GB"/>
        </w:rPr>
      </w:pPr>
      <w:bookmarkStart w:id="25" w:name="_Ref404679178"/>
      <w:r w:rsidRPr="00CD25DA">
        <w:rPr>
          <w:lang w:val="en-GB"/>
        </w:rPr>
        <w:t xml:space="preserve">The </w:t>
      </w:r>
      <w:r w:rsidR="00CD25DA">
        <w:rPr>
          <w:lang w:val="en-GB"/>
        </w:rPr>
        <w:t xml:space="preserve">part of the </w:t>
      </w:r>
      <w:r w:rsidRPr="00CD25DA">
        <w:rPr>
          <w:lang w:val="en-GB"/>
        </w:rPr>
        <w:t>file</w:t>
      </w:r>
      <w:r w:rsidR="00CD25DA">
        <w:rPr>
          <w:lang w:val="en-GB"/>
        </w:rPr>
        <w:t xml:space="preserve">, </w:t>
      </w:r>
      <w:r w:rsidR="00CD25DA" w:rsidRPr="00CD25DA">
        <w:rPr>
          <w:lang w:val="en-GB"/>
        </w:rPr>
        <w:t>previously held by</w:t>
      </w:r>
      <w:r w:rsidR="00CD25DA">
        <w:rPr>
          <w:lang w:val="en-GB"/>
        </w:rPr>
        <w:t xml:space="preserve"> </w:t>
      </w:r>
      <w:r w:rsidR="00CD25DA" w:rsidRPr="00CD25DA">
        <w:rPr>
          <w:lang w:val="en-GB"/>
        </w:rPr>
        <w:t xml:space="preserve">UNMIK Police WCIU </w:t>
      </w:r>
      <w:r w:rsidRPr="00CD25DA">
        <w:rPr>
          <w:lang w:val="en-GB"/>
        </w:rPr>
        <w:t>starts with five one-page UNMIK Police MPU Case Continuation Reports (CCR) on the cases related to the complainant’s relatives. Their details are:</w:t>
      </w:r>
      <w:bookmarkEnd w:id="25"/>
    </w:p>
    <w:p w:rsidR="00CC3A27" w:rsidRPr="004C708E" w:rsidRDefault="00CC3A27" w:rsidP="00CC3A27">
      <w:pPr>
        <w:pStyle w:val="ColorfulList-Accent11"/>
        <w:rPr>
          <w:lang w:val="en-GB"/>
        </w:rPr>
      </w:pPr>
    </w:p>
    <w:p w:rsidR="00CC3A27" w:rsidRPr="004C708E" w:rsidRDefault="00CC3A27" w:rsidP="006A3DDA">
      <w:pPr>
        <w:pStyle w:val="ColorfulList-Accent11"/>
        <w:numPr>
          <w:ilvl w:val="0"/>
          <w:numId w:val="17"/>
        </w:numPr>
        <w:tabs>
          <w:tab w:val="num" w:pos="540"/>
        </w:tabs>
        <w:spacing w:after="120"/>
        <w:ind w:left="547" w:hanging="187"/>
        <w:jc w:val="both"/>
        <w:rPr>
          <w:lang w:val="en-GB"/>
        </w:rPr>
      </w:pPr>
      <w:r w:rsidRPr="004C708E">
        <w:rPr>
          <w:lang w:val="en-GB"/>
        </w:rPr>
        <w:t xml:space="preserve">Mrs </w:t>
      </w:r>
      <w:proofErr w:type="spellStart"/>
      <w:r w:rsidRPr="004C708E">
        <w:rPr>
          <w:lang w:val="en-GB"/>
        </w:rPr>
        <w:t>Darinka</w:t>
      </w:r>
      <w:proofErr w:type="spellEnd"/>
      <w:r w:rsidRPr="004C708E">
        <w:rPr>
          <w:lang w:val="en-GB"/>
        </w:rPr>
        <w:t xml:space="preserve"> </w:t>
      </w:r>
      <w:proofErr w:type="spellStart"/>
      <w:r w:rsidRPr="004C708E">
        <w:rPr>
          <w:lang w:val="en-GB"/>
        </w:rPr>
        <w:t>Šutaković</w:t>
      </w:r>
      <w:proofErr w:type="spellEnd"/>
      <w:r w:rsidRPr="004C708E">
        <w:rPr>
          <w:lang w:val="en-GB"/>
        </w:rPr>
        <w:t>, MPU case no 2003-000051, has two entries, both of 1 April 2003: “Input DB – OK” and “Input DVI – OK”;</w:t>
      </w:r>
    </w:p>
    <w:p w:rsidR="00CC3A27" w:rsidRPr="004C708E" w:rsidRDefault="00CC3A27" w:rsidP="006A3DDA">
      <w:pPr>
        <w:pStyle w:val="ColorfulList-Accent11"/>
        <w:numPr>
          <w:ilvl w:val="0"/>
          <w:numId w:val="17"/>
        </w:numPr>
        <w:tabs>
          <w:tab w:val="num" w:pos="540"/>
        </w:tabs>
        <w:spacing w:after="120"/>
        <w:ind w:left="547" w:hanging="187"/>
        <w:jc w:val="both"/>
        <w:rPr>
          <w:lang w:val="en-GB"/>
        </w:rPr>
      </w:pPr>
      <w:r w:rsidRPr="004C708E">
        <w:rPr>
          <w:lang w:val="en-GB"/>
        </w:rPr>
        <w:t xml:space="preserve">Mr </w:t>
      </w:r>
      <w:proofErr w:type="spellStart"/>
      <w:r w:rsidRPr="004C708E">
        <w:rPr>
          <w:lang w:val="en-GB"/>
        </w:rPr>
        <w:t>Nedeljko</w:t>
      </w:r>
      <w:proofErr w:type="spellEnd"/>
      <w:r w:rsidRPr="004C708E">
        <w:rPr>
          <w:lang w:val="en-GB"/>
        </w:rPr>
        <w:t xml:space="preserve"> </w:t>
      </w:r>
      <w:proofErr w:type="spellStart"/>
      <w:r w:rsidRPr="004C708E">
        <w:rPr>
          <w:lang w:val="en-GB"/>
        </w:rPr>
        <w:t>Šutaković</w:t>
      </w:r>
      <w:proofErr w:type="spellEnd"/>
      <w:r w:rsidRPr="004C708E">
        <w:rPr>
          <w:lang w:val="en-GB"/>
        </w:rPr>
        <w:t>, MPU case no 2002-000640, has two entries, both of 2 September 2002: “DB Input – OK” and “DVI Input– OK”;</w:t>
      </w:r>
    </w:p>
    <w:p w:rsidR="00CC3A27" w:rsidRPr="004C708E" w:rsidRDefault="00CC3A27" w:rsidP="006A3DDA">
      <w:pPr>
        <w:pStyle w:val="ColorfulList-Accent11"/>
        <w:numPr>
          <w:ilvl w:val="0"/>
          <w:numId w:val="17"/>
        </w:numPr>
        <w:tabs>
          <w:tab w:val="num" w:pos="540"/>
        </w:tabs>
        <w:spacing w:after="120"/>
        <w:ind w:left="547" w:hanging="187"/>
        <w:jc w:val="both"/>
        <w:rPr>
          <w:lang w:val="en-GB"/>
        </w:rPr>
      </w:pPr>
      <w:r w:rsidRPr="004C708E">
        <w:rPr>
          <w:lang w:val="en-GB"/>
        </w:rPr>
        <w:t xml:space="preserve">Mr Radovan </w:t>
      </w:r>
      <w:proofErr w:type="spellStart"/>
      <w:r w:rsidRPr="004C708E">
        <w:rPr>
          <w:lang w:val="en-GB"/>
        </w:rPr>
        <w:t>Šutaković</w:t>
      </w:r>
      <w:proofErr w:type="spellEnd"/>
      <w:r w:rsidRPr="004C708E">
        <w:rPr>
          <w:lang w:val="en-GB"/>
        </w:rPr>
        <w:t>, MPU case no 2003-000050, has two entries, both of 31 March 2003: “Input DB – OK” and “Input DVI– OK”;</w:t>
      </w:r>
    </w:p>
    <w:p w:rsidR="00CC3A27" w:rsidRPr="004C708E" w:rsidRDefault="00CC3A27" w:rsidP="006A3DDA">
      <w:pPr>
        <w:pStyle w:val="ColorfulList-Accent11"/>
        <w:numPr>
          <w:ilvl w:val="0"/>
          <w:numId w:val="17"/>
        </w:numPr>
        <w:tabs>
          <w:tab w:val="num" w:pos="540"/>
        </w:tabs>
        <w:spacing w:after="120"/>
        <w:ind w:left="547" w:hanging="187"/>
        <w:jc w:val="both"/>
        <w:rPr>
          <w:lang w:val="en-GB"/>
        </w:rPr>
      </w:pPr>
      <w:r w:rsidRPr="004C708E">
        <w:rPr>
          <w:lang w:val="en-GB"/>
        </w:rPr>
        <w:t xml:space="preserve">Mr </w:t>
      </w:r>
      <w:proofErr w:type="spellStart"/>
      <w:r w:rsidRPr="004C708E">
        <w:rPr>
          <w:lang w:val="en-GB"/>
        </w:rPr>
        <w:t>Ðorđe</w:t>
      </w:r>
      <w:proofErr w:type="spellEnd"/>
      <w:r w:rsidRPr="004C708E">
        <w:rPr>
          <w:lang w:val="en-GB"/>
        </w:rPr>
        <w:t xml:space="preserve"> </w:t>
      </w:r>
      <w:proofErr w:type="spellStart"/>
      <w:r w:rsidRPr="004C708E">
        <w:rPr>
          <w:lang w:val="en-GB"/>
        </w:rPr>
        <w:t>Šutaković</w:t>
      </w:r>
      <w:proofErr w:type="spellEnd"/>
      <w:r w:rsidRPr="004C708E">
        <w:rPr>
          <w:lang w:val="en-GB"/>
        </w:rPr>
        <w:t>, MPU case no 2003-000057, has one entry, of 2 April 2003: “DB &amp; DVI Input – OK”;</w:t>
      </w:r>
    </w:p>
    <w:p w:rsidR="00CC3A27" w:rsidRPr="004C708E" w:rsidRDefault="00CC3A27" w:rsidP="00E5360E">
      <w:pPr>
        <w:pStyle w:val="ColorfulList-Accent11"/>
        <w:numPr>
          <w:ilvl w:val="0"/>
          <w:numId w:val="17"/>
        </w:numPr>
        <w:tabs>
          <w:tab w:val="num" w:pos="540"/>
        </w:tabs>
        <w:ind w:left="540" w:hanging="180"/>
        <w:jc w:val="both"/>
        <w:rPr>
          <w:lang w:val="en-GB"/>
        </w:rPr>
      </w:pPr>
      <w:r w:rsidRPr="004C708E">
        <w:rPr>
          <w:lang w:val="en-GB"/>
        </w:rPr>
        <w:t xml:space="preserve">Mr </w:t>
      </w:r>
      <w:proofErr w:type="spellStart"/>
      <w:r w:rsidRPr="004C708E">
        <w:rPr>
          <w:lang w:val="en-GB"/>
        </w:rPr>
        <w:t>Aleksandar</w:t>
      </w:r>
      <w:proofErr w:type="spellEnd"/>
      <w:r w:rsidRPr="004C708E">
        <w:rPr>
          <w:lang w:val="en-GB"/>
        </w:rPr>
        <w:t xml:space="preserve"> </w:t>
      </w:r>
      <w:proofErr w:type="spellStart"/>
      <w:r w:rsidRPr="004C708E">
        <w:rPr>
          <w:lang w:val="en-GB"/>
        </w:rPr>
        <w:t>Šutaković</w:t>
      </w:r>
      <w:proofErr w:type="spellEnd"/>
      <w:r w:rsidRPr="004C708E">
        <w:rPr>
          <w:lang w:val="en-GB"/>
        </w:rPr>
        <w:t>, MPU case no 2003-000063, has one entry, of 3 April 2003: “DB &amp; DVI Input – OK”.</w:t>
      </w:r>
    </w:p>
    <w:p w:rsidR="00AB348F" w:rsidRPr="004C708E" w:rsidRDefault="00AB348F" w:rsidP="00AB348F">
      <w:pPr>
        <w:pStyle w:val="ColorfulList-Accent11"/>
        <w:rPr>
          <w:lang w:val="en-GB"/>
        </w:rPr>
      </w:pPr>
    </w:p>
    <w:p w:rsidR="00CC3A27" w:rsidRPr="004C708E" w:rsidRDefault="00CC3A27" w:rsidP="00E025EE">
      <w:pPr>
        <w:widowControl w:val="0"/>
        <w:numPr>
          <w:ilvl w:val="0"/>
          <w:numId w:val="2"/>
        </w:numPr>
        <w:tabs>
          <w:tab w:val="clear" w:pos="810"/>
          <w:tab w:val="left" w:pos="360"/>
          <w:tab w:val="left" w:pos="1080"/>
        </w:tabs>
        <w:suppressAutoHyphens/>
        <w:ind w:left="360"/>
        <w:jc w:val="both"/>
        <w:rPr>
          <w:lang w:val="en-GB"/>
        </w:rPr>
      </w:pPr>
      <w:bookmarkStart w:id="26" w:name="_Ref405366969"/>
      <w:r w:rsidRPr="004C708E">
        <w:rPr>
          <w:lang w:val="en-GB"/>
        </w:rPr>
        <w:t>Further, the</w:t>
      </w:r>
      <w:r w:rsidR="00AB348F" w:rsidRPr="004C708E">
        <w:rPr>
          <w:lang w:val="en-GB"/>
        </w:rPr>
        <w:t xml:space="preserve"> file </w:t>
      </w:r>
      <w:r w:rsidRPr="004C708E">
        <w:rPr>
          <w:lang w:val="en-GB"/>
        </w:rPr>
        <w:t>contains five practically identical MPU Ante-Mortem Investigation Reports, commonly referenced to the MPU case no. 1080/INV/04, all started on 23 December 20</w:t>
      </w:r>
      <w:r w:rsidR="00645C66">
        <w:rPr>
          <w:lang w:val="en-GB"/>
        </w:rPr>
        <w:t>04</w:t>
      </w:r>
      <w:r w:rsidRPr="004C708E">
        <w:rPr>
          <w:lang w:val="en-GB"/>
        </w:rPr>
        <w:t xml:space="preserve"> and completed on the same day</w:t>
      </w:r>
      <w:r w:rsidR="004C708E">
        <w:rPr>
          <w:lang w:val="en-GB"/>
        </w:rPr>
        <w:t>:</w:t>
      </w:r>
      <w:bookmarkEnd w:id="26"/>
    </w:p>
    <w:p w:rsidR="00CC3A27" w:rsidRPr="004C708E" w:rsidRDefault="00CC3A27" w:rsidP="00CC3A27">
      <w:pPr>
        <w:pStyle w:val="ColorfulList-Accent11"/>
        <w:rPr>
          <w:lang w:val="en-GB"/>
        </w:rPr>
      </w:pPr>
    </w:p>
    <w:p w:rsidR="00CC3A27" w:rsidRPr="004C708E" w:rsidRDefault="004C708E" w:rsidP="006A3DDA">
      <w:pPr>
        <w:pStyle w:val="ColorfulList-Accent11"/>
        <w:numPr>
          <w:ilvl w:val="0"/>
          <w:numId w:val="17"/>
        </w:numPr>
        <w:tabs>
          <w:tab w:val="num" w:pos="540"/>
        </w:tabs>
        <w:spacing w:after="120"/>
        <w:ind w:left="547" w:hanging="187"/>
        <w:jc w:val="both"/>
        <w:rPr>
          <w:lang w:val="en-GB"/>
        </w:rPr>
      </w:pPr>
      <w:r>
        <w:rPr>
          <w:lang w:val="en-GB"/>
        </w:rPr>
        <w:t xml:space="preserve">for </w:t>
      </w:r>
      <w:r w:rsidR="00CC3A27" w:rsidRPr="004C708E">
        <w:rPr>
          <w:lang w:val="en-GB"/>
        </w:rPr>
        <w:t xml:space="preserve">Mrs </w:t>
      </w:r>
      <w:proofErr w:type="spellStart"/>
      <w:r w:rsidR="00CC3A27" w:rsidRPr="004C708E">
        <w:rPr>
          <w:lang w:val="en-GB"/>
        </w:rPr>
        <w:t>Darinka</w:t>
      </w:r>
      <w:proofErr w:type="spellEnd"/>
      <w:r w:rsidR="00CC3A27" w:rsidRPr="004C708E">
        <w:rPr>
          <w:lang w:val="en-GB"/>
        </w:rPr>
        <w:t xml:space="preserve"> </w:t>
      </w:r>
      <w:proofErr w:type="spellStart"/>
      <w:r w:rsidR="00CC3A27" w:rsidRPr="004C708E">
        <w:rPr>
          <w:lang w:val="en-GB"/>
        </w:rPr>
        <w:t>Šutaković</w:t>
      </w:r>
      <w:proofErr w:type="spellEnd"/>
      <w:r w:rsidR="00CC3A27" w:rsidRPr="004C708E">
        <w:rPr>
          <w:lang w:val="en-GB"/>
        </w:rPr>
        <w:t>, cross-referenced to the MPU case no 2003-000051;</w:t>
      </w:r>
    </w:p>
    <w:p w:rsidR="00CC3A27" w:rsidRPr="004C708E" w:rsidRDefault="004C708E" w:rsidP="006A3DDA">
      <w:pPr>
        <w:pStyle w:val="ColorfulList-Accent11"/>
        <w:numPr>
          <w:ilvl w:val="0"/>
          <w:numId w:val="17"/>
        </w:numPr>
        <w:tabs>
          <w:tab w:val="num" w:pos="540"/>
        </w:tabs>
        <w:spacing w:after="120"/>
        <w:ind w:left="547" w:hanging="187"/>
        <w:jc w:val="both"/>
        <w:rPr>
          <w:lang w:val="en-GB"/>
        </w:rPr>
      </w:pPr>
      <w:r>
        <w:rPr>
          <w:lang w:val="en-GB"/>
        </w:rPr>
        <w:t xml:space="preserve">for </w:t>
      </w:r>
      <w:r w:rsidR="00CC3A27" w:rsidRPr="004C708E">
        <w:rPr>
          <w:lang w:val="en-GB"/>
        </w:rPr>
        <w:t xml:space="preserve">Mr </w:t>
      </w:r>
      <w:proofErr w:type="spellStart"/>
      <w:r w:rsidR="00CC3A27" w:rsidRPr="004C708E">
        <w:rPr>
          <w:lang w:val="en-GB"/>
        </w:rPr>
        <w:t>Nedeljko</w:t>
      </w:r>
      <w:proofErr w:type="spellEnd"/>
      <w:r w:rsidR="00CC3A27" w:rsidRPr="004C708E">
        <w:rPr>
          <w:lang w:val="en-GB"/>
        </w:rPr>
        <w:t xml:space="preserve"> </w:t>
      </w:r>
      <w:proofErr w:type="spellStart"/>
      <w:r w:rsidR="00CC3A27" w:rsidRPr="004C708E">
        <w:rPr>
          <w:lang w:val="en-GB"/>
        </w:rPr>
        <w:t>Šutaković</w:t>
      </w:r>
      <w:proofErr w:type="spellEnd"/>
      <w:r w:rsidR="00CC3A27" w:rsidRPr="004C708E">
        <w:rPr>
          <w:lang w:val="en-GB"/>
        </w:rPr>
        <w:t>, cross-referenced to the MPU case no 2002-000640;</w:t>
      </w:r>
    </w:p>
    <w:p w:rsidR="00CC3A27" w:rsidRPr="00925178" w:rsidRDefault="004C708E" w:rsidP="006A3DDA">
      <w:pPr>
        <w:pStyle w:val="ColorfulList-Accent11"/>
        <w:numPr>
          <w:ilvl w:val="0"/>
          <w:numId w:val="17"/>
        </w:numPr>
        <w:tabs>
          <w:tab w:val="num" w:pos="540"/>
        </w:tabs>
        <w:spacing w:after="120"/>
        <w:ind w:left="547" w:hanging="187"/>
        <w:jc w:val="both"/>
        <w:rPr>
          <w:lang w:val="en-GB"/>
        </w:rPr>
      </w:pPr>
      <w:r>
        <w:rPr>
          <w:lang w:val="en-GB"/>
        </w:rPr>
        <w:t xml:space="preserve">for </w:t>
      </w:r>
      <w:r w:rsidR="00CC3A27" w:rsidRPr="00925178">
        <w:rPr>
          <w:lang w:val="en-GB"/>
        </w:rPr>
        <w:t xml:space="preserve">Mr Radovan </w:t>
      </w:r>
      <w:proofErr w:type="spellStart"/>
      <w:r w:rsidR="00CC3A27" w:rsidRPr="00925178">
        <w:rPr>
          <w:lang w:val="en-GB"/>
        </w:rPr>
        <w:t>Šutaković</w:t>
      </w:r>
      <w:proofErr w:type="spellEnd"/>
      <w:r w:rsidR="00CC3A27" w:rsidRPr="00925178">
        <w:rPr>
          <w:lang w:val="en-GB"/>
        </w:rPr>
        <w:t>, cross-referenced to the MPU case no 2003-000050;</w:t>
      </w:r>
    </w:p>
    <w:p w:rsidR="00CC3A27" w:rsidRPr="00925178" w:rsidRDefault="004C708E" w:rsidP="006A3DDA">
      <w:pPr>
        <w:pStyle w:val="ColorfulList-Accent11"/>
        <w:numPr>
          <w:ilvl w:val="0"/>
          <w:numId w:val="17"/>
        </w:numPr>
        <w:tabs>
          <w:tab w:val="num" w:pos="540"/>
        </w:tabs>
        <w:spacing w:after="120"/>
        <w:ind w:left="547" w:hanging="187"/>
        <w:jc w:val="both"/>
        <w:rPr>
          <w:lang w:val="en-GB"/>
        </w:rPr>
      </w:pPr>
      <w:r>
        <w:rPr>
          <w:lang w:val="en-GB"/>
        </w:rPr>
        <w:t xml:space="preserve">for </w:t>
      </w:r>
      <w:r w:rsidR="00CC3A27" w:rsidRPr="00925178">
        <w:rPr>
          <w:lang w:val="en-GB"/>
        </w:rPr>
        <w:t xml:space="preserve">Mr </w:t>
      </w:r>
      <w:proofErr w:type="spellStart"/>
      <w:r w:rsidR="00CC3A27" w:rsidRPr="00925178">
        <w:rPr>
          <w:lang w:val="en-GB"/>
        </w:rPr>
        <w:t>Ðorđe</w:t>
      </w:r>
      <w:proofErr w:type="spellEnd"/>
      <w:r w:rsidR="00CC3A27" w:rsidRPr="00925178">
        <w:rPr>
          <w:lang w:val="en-GB"/>
        </w:rPr>
        <w:t xml:space="preserve"> </w:t>
      </w:r>
      <w:proofErr w:type="spellStart"/>
      <w:r w:rsidR="00CC3A27" w:rsidRPr="00925178">
        <w:rPr>
          <w:lang w:val="en-GB"/>
        </w:rPr>
        <w:t>Šutaković</w:t>
      </w:r>
      <w:proofErr w:type="spellEnd"/>
      <w:r w:rsidR="00CC3A27" w:rsidRPr="00925178">
        <w:rPr>
          <w:lang w:val="en-GB"/>
        </w:rPr>
        <w:t>, cross-referenced to the MPU case no 2003-000057;</w:t>
      </w:r>
    </w:p>
    <w:p w:rsidR="00CC3A27" w:rsidRPr="004C708E" w:rsidRDefault="004C708E" w:rsidP="00E5360E">
      <w:pPr>
        <w:pStyle w:val="ColorfulList-Accent11"/>
        <w:numPr>
          <w:ilvl w:val="0"/>
          <w:numId w:val="17"/>
        </w:numPr>
        <w:tabs>
          <w:tab w:val="num" w:pos="540"/>
        </w:tabs>
        <w:ind w:left="720"/>
        <w:jc w:val="both"/>
        <w:rPr>
          <w:lang w:val="en-GB"/>
        </w:rPr>
      </w:pPr>
      <w:proofErr w:type="gramStart"/>
      <w:r>
        <w:rPr>
          <w:lang w:val="en-GB"/>
        </w:rPr>
        <w:t>for</w:t>
      </w:r>
      <w:proofErr w:type="gramEnd"/>
      <w:r>
        <w:rPr>
          <w:lang w:val="en-GB"/>
        </w:rPr>
        <w:t xml:space="preserve"> </w:t>
      </w:r>
      <w:r w:rsidR="00CC3A27" w:rsidRPr="004C708E">
        <w:rPr>
          <w:lang w:val="en-GB"/>
        </w:rPr>
        <w:t xml:space="preserve">Mr </w:t>
      </w:r>
      <w:proofErr w:type="spellStart"/>
      <w:r w:rsidR="00CC3A27" w:rsidRPr="004C708E">
        <w:rPr>
          <w:lang w:val="en-GB"/>
        </w:rPr>
        <w:t>Aleksandar</w:t>
      </w:r>
      <w:proofErr w:type="spellEnd"/>
      <w:r w:rsidR="00CC3A27" w:rsidRPr="004C708E">
        <w:rPr>
          <w:lang w:val="en-GB"/>
        </w:rPr>
        <w:t xml:space="preserve"> </w:t>
      </w:r>
      <w:proofErr w:type="spellStart"/>
      <w:r w:rsidR="00CC3A27" w:rsidRPr="004C708E">
        <w:rPr>
          <w:lang w:val="en-GB"/>
        </w:rPr>
        <w:t>Šutaković</w:t>
      </w:r>
      <w:proofErr w:type="spellEnd"/>
      <w:r w:rsidR="00CC3A27" w:rsidRPr="004C708E">
        <w:rPr>
          <w:lang w:val="en-GB"/>
        </w:rPr>
        <w:t>, cross-referenced to the MPU case no 2003-000063.</w:t>
      </w:r>
    </w:p>
    <w:p w:rsidR="00AB348F" w:rsidRPr="00AB348F" w:rsidRDefault="00AB348F" w:rsidP="00AB348F">
      <w:pPr>
        <w:pStyle w:val="ColorfulList-Accent11"/>
        <w:rPr>
          <w:highlight w:val="yellow"/>
          <w:lang w:val="en-GB"/>
        </w:rPr>
      </w:pPr>
    </w:p>
    <w:p w:rsidR="00AB348F" w:rsidRPr="00F35DD1" w:rsidRDefault="00CC3A27" w:rsidP="00E025EE">
      <w:pPr>
        <w:widowControl w:val="0"/>
        <w:numPr>
          <w:ilvl w:val="0"/>
          <w:numId w:val="2"/>
        </w:numPr>
        <w:tabs>
          <w:tab w:val="clear" w:pos="810"/>
          <w:tab w:val="left" w:pos="360"/>
          <w:tab w:val="left" w:pos="1080"/>
        </w:tabs>
        <w:suppressAutoHyphens/>
        <w:ind w:left="360"/>
        <w:jc w:val="both"/>
        <w:rPr>
          <w:lang w:val="en-GB"/>
        </w:rPr>
      </w:pPr>
      <w:bookmarkStart w:id="27" w:name="_Ref404697372"/>
      <w:bookmarkEnd w:id="24"/>
      <w:r w:rsidRPr="00F35DD1">
        <w:rPr>
          <w:lang w:val="en-GB"/>
        </w:rPr>
        <w:t xml:space="preserve">All of them contain the name and contact details of </w:t>
      </w:r>
      <w:r w:rsidR="00E137E7">
        <w:rPr>
          <w:lang w:val="en-GB"/>
        </w:rPr>
        <w:t xml:space="preserve">a </w:t>
      </w:r>
      <w:r w:rsidR="00925178" w:rsidRPr="00F35DD1">
        <w:rPr>
          <w:lang w:val="en-GB"/>
        </w:rPr>
        <w:t xml:space="preserve">certain D.G., identified as “nephew </w:t>
      </w:r>
      <w:r w:rsidR="00A8429D">
        <w:rPr>
          <w:lang w:val="en-GB"/>
        </w:rPr>
        <w:t xml:space="preserve">[sic.] </w:t>
      </w:r>
      <w:proofErr w:type="gramStart"/>
      <w:r w:rsidR="00925178" w:rsidRPr="00F35DD1">
        <w:rPr>
          <w:lang w:val="en-GB"/>
        </w:rPr>
        <w:t>of</w:t>
      </w:r>
      <w:proofErr w:type="gramEnd"/>
      <w:r w:rsidR="00925178" w:rsidRPr="00F35DD1">
        <w:rPr>
          <w:lang w:val="en-GB"/>
        </w:rPr>
        <w:t xml:space="preserve"> SUTAKOVIC </w:t>
      </w:r>
      <w:proofErr w:type="spellStart"/>
      <w:r w:rsidRPr="00F35DD1">
        <w:rPr>
          <w:lang w:val="en-GB"/>
        </w:rPr>
        <w:t>Nedeljko</w:t>
      </w:r>
      <w:proofErr w:type="spellEnd"/>
      <w:r w:rsidR="00925178" w:rsidRPr="00F35DD1">
        <w:rPr>
          <w:lang w:val="en-GB"/>
        </w:rPr>
        <w:t>” as</w:t>
      </w:r>
      <w:r w:rsidRPr="00F35DD1">
        <w:rPr>
          <w:lang w:val="en-GB"/>
        </w:rPr>
        <w:t xml:space="preserve"> a witness</w:t>
      </w:r>
      <w:r w:rsidR="00F35DD1" w:rsidRPr="00F35DD1">
        <w:rPr>
          <w:lang w:val="en-GB"/>
        </w:rPr>
        <w:t xml:space="preserve">. The document further reads: “We contact relatives </w:t>
      </w:r>
      <w:r w:rsidR="00E137E7">
        <w:rPr>
          <w:lang w:val="en-GB"/>
        </w:rPr>
        <w:t>[</w:t>
      </w:r>
      <w:r w:rsidR="00F35DD1" w:rsidRPr="00F35DD1">
        <w:rPr>
          <w:lang w:val="en-GB"/>
        </w:rPr>
        <w:t>D.G.</w:t>
      </w:r>
      <w:r w:rsidR="00E137E7">
        <w:rPr>
          <w:lang w:val="en-GB"/>
        </w:rPr>
        <w:t>]</w:t>
      </w:r>
      <w:r w:rsidR="00F35DD1" w:rsidRPr="00F35DD1">
        <w:rPr>
          <w:lang w:val="en-GB"/>
        </w:rPr>
        <w:t xml:space="preserve">, her address is ORAHOVAC. We contact her by the telephone, she don`t want to have family visit.” </w:t>
      </w:r>
      <w:r w:rsidR="00F35DD1">
        <w:rPr>
          <w:lang w:val="en-GB"/>
        </w:rPr>
        <w:t>Nevertheless, the field “Statement of witness” reflects the following:</w:t>
      </w:r>
      <w:bookmarkEnd w:id="27"/>
    </w:p>
    <w:p w:rsidR="00925178" w:rsidRDefault="00925178" w:rsidP="00CC3A27">
      <w:pPr>
        <w:pStyle w:val="ColorfulList-Accent11"/>
        <w:suppressAutoHyphens w:val="0"/>
        <w:ind w:left="360"/>
        <w:contextualSpacing/>
        <w:jc w:val="both"/>
        <w:rPr>
          <w:lang w:val="en-GB"/>
        </w:rPr>
      </w:pPr>
    </w:p>
    <w:p w:rsidR="00CC3A27" w:rsidRDefault="00925178" w:rsidP="00E025EE">
      <w:pPr>
        <w:widowControl w:val="0"/>
        <w:numPr>
          <w:ilvl w:val="0"/>
          <w:numId w:val="2"/>
        </w:numPr>
        <w:tabs>
          <w:tab w:val="clear" w:pos="810"/>
          <w:tab w:val="left" w:pos="360"/>
          <w:tab w:val="left" w:pos="1080"/>
        </w:tabs>
        <w:suppressAutoHyphens/>
        <w:ind w:left="360"/>
        <w:jc w:val="both"/>
        <w:rPr>
          <w:lang w:val="en-GB"/>
        </w:rPr>
      </w:pPr>
      <w:r>
        <w:rPr>
          <w:lang w:val="en-GB"/>
        </w:rPr>
        <w:t xml:space="preserve">“SUTAKOVIC family are </w:t>
      </w:r>
      <w:r w:rsidRPr="00925178">
        <w:t>with</w:t>
      </w:r>
      <w:r>
        <w:rPr>
          <w:lang w:val="en-GB"/>
        </w:rPr>
        <w:t xml:space="preserve"> other Serbian citizens of </w:t>
      </w:r>
      <w:proofErr w:type="spellStart"/>
      <w:r>
        <w:rPr>
          <w:lang w:val="en-GB"/>
        </w:rPr>
        <w:t>Djakovica</w:t>
      </w:r>
      <w:proofErr w:type="spellEnd"/>
      <w:r>
        <w:rPr>
          <w:lang w:val="en-GB"/>
        </w:rPr>
        <w:t xml:space="preserve"> escape in the Orthodox Church in </w:t>
      </w:r>
      <w:proofErr w:type="spellStart"/>
      <w:r>
        <w:rPr>
          <w:lang w:val="en-GB"/>
        </w:rPr>
        <w:t>Djakovica</w:t>
      </w:r>
      <w:proofErr w:type="spellEnd"/>
      <w:r>
        <w:rPr>
          <w:lang w:val="en-GB"/>
        </w:rPr>
        <w:t>.</w:t>
      </w:r>
      <w:r w:rsidRPr="00925178">
        <w:rPr>
          <w:lang w:val="en-GB"/>
        </w:rPr>
        <w:t xml:space="preserve"> </w:t>
      </w:r>
      <w:r>
        <w:rPr>
          <w:lang w:val="en-GB"/>
        </w:rPr>
        <w:t xml:space="preserve">SUTAKOVIC </w:t>
      </w:r>
      <w:proofErr w:type="spellStart"/>
      <w:r>
        <w:rPr>
          <w:lang w:val="en-GB"/>
        </w:rPr>
        <w:t>Nedeljko</w:t>
      </w:r>
      <w:proofErr w:type="spellEnd"/>
      <w:r>
        <w:rPr>
          <w:lang w:val="en-GB"/>
        </w:rPr>
        <w:t xml:space="preserve"> went back home to get some stuff and he never return. His wife </w:t>
      </w:r>
      <w:proofErr w:type="spellStart"/>
      <w:r>
        <w:rPr>
          <w:lang w:val="en-GB"/>
        </w:rPr>
        <w:t>Darinka</w:t>
      </w:r>
      <w:proofErr w:type="spellEnd"/>
      <w:r>
        <w:rPr>
          <w:lang w:val="en-GB"/>
        </w:rPr>
        <w:t xml:space="preserve"> and his three children </w:t>
      </w:r>
      <w:proofErr w:type="spellStart"/>
      <w:r>
        <w:rPr>
          <w:lang w:val="en-GB"/>
        </w:rPr>
        <w:t>Radoman</w:t>
      </w:r>
      <w:proofErr w:type="spellEnd"/>
      <w:r>
        <w:rPr>
          <w:lang w:val="en-GB"/>
        </w:rPr>
        <w:t xml:space="preserve">, </w:t>
      </w:r>
      <w:proofErr w:type="spellStart"/>
      <w:r>
        <w:rPr>
          <w:lang w:val="en-GB"/>
        </w:rPr>
        <w:t>Djordje</w:t>
      </w:r>
      <w:proofErr w:type="spellEnd"/>
      <w:r>
        <w:rPr>
          <w:lang w:val="en-GB"/>
        </w:rPr>
        <w:t xml:space="preserve"> and </w:t>
      </w:r>
      <w:proofErr w:type="spellStart"/>
      <w:r>
        <w:rPr>
          <w:lang w:val="en-GB"/>
        </w:rPr>
        <w:t>Aleksandar</w:t>
      </w:r>
      <w:proofErr w:type="spellEnd"/>
      <w:r>
        <w:rPr>
          <w:lang w:val="en-GB"/>
        </w:rPr>
        <w:t xml:space="preserve"> went after him to see what happened. Nobody ever return. The wife who could have some information doesn’t want to talk. She was in the church in same time as SUTAKOVIC family. Her name is [K.K.] and she live in asylum centre in [K], Serbia. The future of SUTAKOVIC family is unknown.”</w:t>
      </w:r>
    </w:p>
    <w:p w:rsidR="00CC3A27" w:rsidRDefault="00CC3A27" w:rsidP="00CC3A27">
      <w:pPr>
        <w:pStyle w:val="ColorfulList-Accent11"/>
        <w:suppressAutoHyphens w:val="0"/>
        <w:ind w:left="360"/>
        <w:contextualSpacing/>
        <w:jc w:val="both"/>
        <w:rPr>
          <w:lang w:val="en-GB"/>
        </w:rPr>
      </w:pPr>
    </w:p>
    <w:p w:rsidR="00CC3A27" w:rsidRDefault="00925178" w:rsidP="00E025EE">
      <w:pPr>
        <w:widowControl w:val="0"/>
        <w:numPr>
          <w:ilvl w:val="0"/>
          <w:numId w:val="2"/>
        </w:numPr>
        <w:tabs>
          <w:tab w:val="clear" w:pos="810"/>
          <w:tab w:val="left" w:pos="360"/>
          <w:tab w:val="left" w:pos="1080"/>
        </w:tabs>
        <w:suppressAutoHyphens/>
        <w:ind w:left="360"/>
        <w:jc w:val="both"/>
        <w:rPr>
          <w:lang w:val="en-GB"/>
        </w:rPr>
      </w:pPr>
      <w:r>
        <w:rPr>
          <w:lang w:val="en-GB"/>
        </w:rPr>
        <w:t xml:space="preserve">All five reports conclude with the same statement: </w:t>
      </w:r>
    </w:p>
    <w:p w:rsidR="00925178" w:rsidRDefault="00925178" w:rsidP="00925178">
      <w:pPr>
        <w:pStyle w:val="ColorfulList-Accent11"/>
        <w:ind w:right="270"/>
        <w:jc w:val="both"/>
        <w:rPr>
          <w:lang w:val="en-GB"/>
        </w:rPr>
      </w:pPr>
    </w:p>
    <w:p w:rsidR="00925178" w:rsidRDefault="00925178" w:rsidP="00925178">
      <w:pPr>
        <w:pStyle w:val="ColorfulList-Accent11"/>
        <w:ind w:right="270"/>
        <w:jc w:val="both"/>
        <w:rPr>
          <w:lang w:val="en-GB"/>
        </w:rPr>
      </w:pPr>
      <w:r>
        <w:rPr>
          <w:lang w:val="en-GB"/>
        </w:rPr>
        <w:t>“After investigations, it’s impossible at this time to find an impartial witness around the place event. No information leading to a possible MP’s location. This case should remain open pending within the WCU.”</w:t>
      </w:r>
    </w:p>
    <w:p w:rsidR="008F02A1" w:rsidRDefault="008F02A1" w:rsidP="00CA6855">
      <w:pPr>
        <w:ind w:left="360"/>
        <w:jc w:val="both"/>
        <w:rPr>
          <w:color w:val="FF0000"/>
        </w:rPr>
      </w:pPr>
    </w:p>
    <w:p w:rsidR="00447C5A" w:rsidRPr="00E137E7" w:rsidRDefault="00447C5A" w:rsidP="00447C5A">
      <w:pPr>
        <w:pStyle w:val="ColorfulList-Accent11"/>
        <w:numPr>
          <w:ilvl w:val="0"/>
          <w:numId w:val="14"/>
        </w:numPr>
        <w:ind w:left="270" w:hanging="270"/>
        <w:jc w:val="both"/>
        <w:rPr>
          <w:i/>
          <w:color w:val="000000" w:themeColor="text1"/>
          <w:lang w:val="en-GB"/>
        </w:rPr>
      </w:pPr>
      <w:r w:rsidRPr="00E137E7">
        <w:rPr>
          <w:i/>
          <w:color w:val="000000" w:themeColor="text1"/>
          <w:lang w:val="en-GB"/>
        </w:rPr>
        <w:t xml:space="preserve">Investigation in relation to Mr </w:t>
      </w:r>
      <w:proofErr w:type="spellStart"/>
      <w:r w:rsidRPr="00E137E7">
        <w:rPr>
          <w:i/>
          <w:color w:val="000000" w:themeColor="text1"/>
          <w:lang w:val="en-GB"/>
        </w:rPr>
        <w:t>Milenko</w:t>
      </w:r>
      <w:proofErr w:type="spellEnd"/>
      <w:r w:rsidRPr="00E137E7">
        <w:rPr>
          <w:i/>
          <w:color w:val="000000" w:themeColor="text1"/>
          <w:lang w:val="en-GB"/>
        </w:rPr>
        <w:t xml:space="preserve"> </w:t>
      </w:r>
      <w:proofErr w:type="spellStart"/>
      <w:r w:rsidRPr="00E137E7">
        <w:rPr>
          <w:i/>
          <w:color w:val="000000" w:themeColor="text1"/>
          <w:lang w:val="en-GB"/>
        </w:rPr>
        <w:t>Kabaš</w:t>
      </w:r>
      <w:proofErr w:type="spellEnd"/>
      <w:r w:rsidRPr="00E137E7">
        <w:rPr>
          <w:i/>
          <w:color w:val="000000" w:themeColor="text1"/>
          <w:lang w:val="en-GB"/>
        </w:rPr>
        <w:t xml:space="preserve"> </w:t>
      </w:r>
      <w:r w:rsidR="00533B51" w:rsidRPr="00E137E7">
        <w:rPr>
          <w:i/>
          <w:color w:val="000000" w:themeColor="text1"/>
          <w:lang w:val="en-GB"/>
        </w:rPr>
        <w:t>(case no. 2001-000984)</w:t>
      </w:r>
    </w:p>
    <w:p w:rsidR="00447C5A" w:rsidRDefault="00447C5A" w:rsidP="00CA6855">
      <w:pPr>
        <w:ind w:left="360"/>
        <w:jc w:val="both"/>
        <w:rPr>
          <w:color w:val="FF0000"/>
        </w:rPr>
      </w:pPr>
    </w:p>
    <w:p w:rsidR="009F0D67" w:rsidRPr="009F0D67" w:rsidRDefault="009F0D67" w:rsidP="00CA6855">
      <w:pPr>
        <w:ind w:left="360"/>
        <w:jc w:val="both"/>
        <w:rPr>
          <w:i/>
        </w:rPr>
      </w:pPr>
      <w:r w:rsidRPr="009F0D67">
        <w:rPr>
          <w:i/>
        </w:rPr>
        <w:t>UNMIK Police and OMPF files</w:t>
      </w:r>
    </w:p>
    <w:p w:rsidR="009F0D67" w:rsidRDefault="009F0D67" w:rsidP="00CA6855">
      <w:pPr>
        <w:ind w:left="360"/>
        <w:jc w:val="both"/>
        <w:rPr>
          <w:color w:val="FF0000"/>
        </w:rPr>
      </w:pPr>
    </w:p>
    <w:p w:rsidR="00B14602" w:rsidRPr="00C5394C" w:rsidRDefault="00B14602" w:rsidP="00E025EE">
      <w:pPr>
        <w:widowControl w:val="0"/>
        <w:numPr>
          <w:ilvl w:val="0"/>
          <w:numId w:val="2"/>
        </w:numPr>
        <w:tabs>
          <w:tab w:val="clear" w:pos="810"/>
          <w:tab w:val="left" w:pos="360"/>
          <w:tab w:val="left" w:pos="1080"/>
        </w:tabs>
        <w:suppressAutoHyphens/>
        <w:ind w:left="360"/>
        <w:jc w:val="both"/>
        <w:rPr>
          <w:lang w:val="en-GB"/>
        </w:rPr>
      </w:pPr>
      <w:bookmarkStart w:id="28" w:name="_Ref404679558"/>
      <w:r w:rsidRPr="00B14602">
        <w:rPr>
          <w:lang w:val="en-GB"/>
        </w:rPr>
        <w:t>A</w:t>
      </w:r>
      <w:r>
        <w:rPr>
          <w:lang w:val="en-GB"/>
        </w:rPr>
        <w:t>n</w:t>
      </w:r>
      <w:r w:rsidRPr="00B14602">
        <w:rPr>
          <w:lang w:val="en-GB"/>
        </w:rPr>
        <w:t xml:space="preserve"> </w:t>
      </w:r>
      <w:r>
        <w:rPr>
          <w:lang w:val="en-GB"/>
        </w:rPr>
        <w:t xml:space="preserve">MPU CCR on the case 2001-000984 </w:t>
      </w:r>
      <w:r w:rsidRPr="004C708E">
        <w:rPr>
          <w:lang w:val="en-GB"/>
        </w:rPr>
        <w:t>has two entries</w:t>
      </w:r>
      <w:r>
        <w:rPr>
          <w:lang w:val="en-GB"/>
        </w:rPr>
        <w:t>:</w:t>
      </w:r>
      <w:r w:rsidRPr="004C708E">
        <w:rPr>
          <w:lang w:val="en-GB"/>
        </w:rPr>
        <w:t xml:space="preserve"> of </w:t>
      </w:r>
      <w:r>
        <w:rPr>
          <w:lang w:val="en-GB"/>
        </w:rPr>
        <w:t>1</w:t>
      </w:r>
      <w:r w:rsidRPr="004C708E">
        <w:rPr>
          <w:lang w:val="en-GB"/>
        </w:rPr>
        <w:t>1 March 200</w:t>
      </w:r>
      <w:r>
        <w:rPr>
          <w:lang w:val="en-GB"/>
        </w:rPr>
        <w:t xml:space="preserve">1, </w:t>
      </w:r>
      <w:r w:rsidRPr="004C708E">
        <w:rPr>
          <w:lang w:val="en-GB"/>
        </w:rPr>
        <w:t>“DB Input</w:t>
      </w:r>
      <w:r>
        <w:rPr>
          <w:lang w:val="en-GB"/>
        </w:rPr>
        <w:t xml:space="preserve"> According to HCL</w:t>
      </w:r>
      <w:r w:rsidRPr="004C708E">
        <w:rPr>
          <w:lang w:val="en-GB"/>
        </w:rPr>
        <w:t xml:space="preserve">” and </w:t>
      </w:r>
      <w:r>
        <w:rPr>
          <w:lang w:val="en-GB"/>
        </w:rPr>
        <w:t xml:space="preserve">of 26 May 2002, “DVI Input – OK”. Attached to this form is a photocopy of a page from the HLC book related to the missing persons in Kosovo, with the complete statement of Ms </w:t>
      </w:r>
      <w:proofErr w:type="spellStart"/>
      <w:r>
        <w:rPr>
          <w:lang w:val="en-GB"/>
        </w:rPr>
        <w:t>Rosanda</w:t>
      </w:r>
      <w:proofErr w:type="spellEnd"/>
      <w:r>
        <w:rPr>
          <w:lang w:val="en-GB"/>
        </w:rPr>
        <w:t xml:space="preserve"> </w:t>
      </w:r>
      <w:proofErr w:type="spellStart"/>
      <w:r>
        <w:rPr>
          <w:lang w:val="en-GB"/>
        </w:rPr>
        <w:t>Kaba</w:t>
      </w:r>
      <w:r w:rsidR="00937BF7">
        <w:rPr>
          <w:lang w:val="en-GB"/>
        </w:rPr>
        <w:t>š</w:t>
      </w:r>
      <w:proofErr w:type="spellEnd"/>
      <w:r>
        <w:rPr>
          <w:lang w:val="en-GB"/>
        </w:rPr>
        <w:t xml:space="preserve">, as shown </w:t>
      </w:r>
      <w:r w:rsidRPr="00C5394C">
        <w:rPr>
          <w:lang w:val="en-GB"/>
        </w:rPr>
        <w:t xml:space="preserve">before (see § </w:t>
      </w:r>
      <w:r w:rsidR="0037719A">
        <w:fldChar w:fldCharType="begin"/>
      </w:r>
      <w:r w:rsidR="0037719A">
        <w:instrText xml:space="preserve"> REF _Ref404246202 \r \h  \* MERGEFORMAT </w:instrText>
      </w:r>
      <w:r w:rsidR="0037719A">
        <w:fldChar w:fldCharType="separate"/>
      </w:r>
      <w:r w:rsidR="00A35759" w:rsidRPr="00A35759">
        <w:rPr>
          <w:lang w:val="en-GB"/>
        </w:rPr>
        <w:t>57</w:t>
      </w:r>
      <w:r w:rsidR="0037719A">
        <w:fldChar w:fldCharType="end"/>
      </w:r>
      <w:r w:rsidRPr="00C5394C">
        <w:rPr>
          <w:lang w:val="en-GB"/>
        </w:rPr>
        <w:t>).</w:t>
      </w:r>
      <w:bookmarkEnd w:id="28"/>
    </w:p>
    <w:p w:rsidR="00B14602" w:rsidRPr="00C5394C" w:rsidRDefault="00B14602" w:rsidP="00B14602">
      <w:pPr>
        <w:pStyle w:val="ColorfulList-Accent11"/>
        <w:suppressAutoHyphens w:val="0"/>
        <w:ind w:left="360"/>
        <w:contextualSpacing/>
        <w:jc w:val="both"/>
        <w:rPr>
          <w:lang w:val="en-GB"/>
        </w:rPr>
      </w:pPr>
    </w:p>
    <w:p w:rsidR="00935518" w:rsidRDefault="00935518" w:rsidP="00E025EE">
      <w:pPr>
        <w:pStyle w:val="ColorfulList-Accent11"/>
        <w:numPr>
          <w:ilvl w:val="0"/>
          <w:numId w:val="2"/>
        </w:numPr>
        <w:tabs>
          <w:tab w:val="clear" w:pos="810"/>
          <w:tab w:val="num" w:pos="360"/>
          <w:tab w:val="num" w:pos="540"/>
        </w:tabs>
        <w:suppressAutoHyphens w:val="0"/>
        <w:ind w:left="360"/>
        <w:contextualSpacing/>
        <w:jc w:val="both"/>
        <w:rPr>
          <w:lang w:val="en-GB"/>
        </w:rPr>
      </w:pPr>
      <w:r w:rsidRPr="00C5394C">
        <w:rPr>
          <w:lang w:val="en-GB"/>
        </w:rPr>
        <w:t xml:space="preserve">The file further contains a Victim Identification Form for Mr </w:t>
      </w:r>
      <w:proofErr w:type="spellStart"/>
      <w:r w:rsidRPr="00C5394C">
        <w:rPr>
          <w:lang w:val="en-GB"/>
        </w:rPr>
        <w:t>Milenko</w:t>
      </w:r>
      <w:proofErr w:type="spellEnd"/>
      <w:r w:rsidRPr="00C5394C">
        <w:rPr>
          <w:lang w:val="en-GB"/>
        </w:rPr>
        <w:t xml:space="preserve"> </w:t>
      </w:r>
      <w:proofErr w:type="spellStart"/>
      <w:r w:rsidRPr="00C5394C">
        <w:rPr>
          <w:lang w:val="en-GB"/>
        </w:rPr>
        <w:t>Kabaš</w:t>
      </w:r>
      <w:proofErr w:type="spellEnd"/>
      <w:r w:rsidRPr="00C5394C">
        <w:rPr>
          <w:lang w:val="en-GB"/>
        </w:rPr>
        <w:t xml:space="preserve">, apparently completed by the ICRC </w:t>
      </w:r>
      <w:r w:rsidRPr="00C5394C">
        <w:rPr>
          <w:bCs/>
          <w:lang w:val="en-GB"/>
        </w:rPr>
        <w:t xml:space="preserve">between 1 July and 20 September 2001 (see § </w:t>
      </w:r>
      <w:r w:rsidR="0037719A">
        <w:fldChar w:fldCharType="begin"/>
      </w:r>
      <w:r w:rsidR="0037719A">
        <w:instrText xml:space="preserve"> REF _Ref404245542 \r \h  \* MERGEFORMAT </w:instrText>
      </w:r>
      <w:r w:rsidR="0037719A">
        <w:fldChar w:fldCharType="separate"/>
      </w:r>
      <w:r w:rsidR="00A35759" w:rsidRPr="00A35759">
        <w:rPr>
          <w:bCs/>
          <w:lang w:val="en-GB"/>
        </w:rPr>
        <w:t>58</w:t>
      </w:r>
      <w:r w:rsidR="0037719A">
        <w:fldChar w:fldCharType="end"/>
      </w:r>
      <w:r w:rsidRPr="00C5394C">
        <w:rPr>
          <w:bCs/>
          <w:lang w:val="en-GB"/>
        </w:rPr>
        <w:t xml:space="preserve"> above); it is completed by hand-writing, in Serbian.</w:t>
      </w:r>
      <w:r w:rsidRPr="00C5394C">
        <w:rPr>
          <w:lang w:val="en-GB"/>
        </w:rPr>
        <w:t xml:space="preserve"> Besides his personal details and ante-mortem </w:t>
      </w:r>
      <w:r w:rsidRPr="00C5394C">
        <w:rPr>
          <w:lang w:val="en-GB"/>
        </w:rPr>
        <w:lastRenderedPageBreak/>
        <w:t>description, it provides the name and complete contact details of his sister (the complainant</w:t>
      </w:r>
      <w:r w:rsidRPr="00935518">
        <w:rPr>
          <w:lang w:val="en-GB"/>
        </w:rPr>
        <w:t xml:space="preserve">, Ms </w:t>
      </w:r>
      <w:proofErr w:type="spellStart"/>
      <w:r w:rsidRPr="00935518">
        <w:rPr>
          <w:lang w:val="en-GB"/>
        </w:rPr>
        <w:t>Rosanda</w:t>
      </w:r>
      <w:proofErr w:type="spellEnd"/>
      <w:r w:rsidRPr="00935518">
        <w:rPr>
          <w:lang w:val="en-GB"/>
        </w:rPr>
        <w:t xml:space="preserve"> </w:t>
      </w:r>
      <w:proofErr w:type="spellStart"/>
      <w:r w:rsidRPr="00935518">
        <w:rPr>
          <w:lang w:val="en-GB"/>
        </w:rPr>
        <w:t>Kabaš</w:t>
      </w:r>
      <w:proofErr w:type="spellEnd"/>
      <w:r w:rsidRPr="00935518">
        <w:rPr>
          <w:lang w:val="en-GB"/>
        </w:rPr>
        <w:t>). His photograph is attached to this form.</w:t>
      </w:r>
    </w:p>
    <w:p w:rsidR="00935518" w:rsidRDefault="00935518" w:rsidP="00E025EE">
      <w:pPr>
        <w:pStyle w:val="ColorfulList-Accent11"/>
        <w:tabs>
          <w:tab w:val="num" w:pos="360"/>
        </w:tabs>
        <w:suppressAutoHyphens w:val="0"/>
        <w:ind w:left="360"/>
        <w:contextualSpacing/>
        <w:jc w:val="both"/>
        <w:rPr>
          <w:lang w:val="en-GB"/>
        </w:rPr>
      </w:pPr>
    </w:p>
    <w:p w:rsidR="00B14602" w:rsidRDefault="00935518" w:rsidP="00E025EE">
      <w:pPr>
        <w:pStyle w:val="ColorfulList-Accent11"/>
        <w:numPr>
          <w:ilvl w:val="0"/>
          <w:numId w:val="2"/>
        </w:numPr>
        <w:tabs>
          <w:tab w:val="clear" w:pos="810"/>
          <w:tab w:val="num" w:pos="360"/>
          <w:tab w:val="num" w:pos="540"/>
        </w:tabs>
        <w:suppressAutoHyphens w:val="0"/>
        <w:ind w:left="360"/>
        <w:contextualSpacing/>
        <w:jc w:val="both"/>
        <w:rPr>
          <w:lang w:val="en-GB"/>
        </w:rPr>
      </w:pPr>
      <w:r w:rsidRPr="00B14602">
        <w:rPr>
          <w:lang w:val="en-GB"/>
        </w:rPr>
        <w:t xml:space="preserve">Another Victim Identification Form, completed in English, is dated 24 </w:t>
      </w:r>
      <w:r w:rsidR="00B14602" w:rsidRPr="00B14602">
        <w:rPr>
          <w:lang w:val="en-GB"/>
        </w:rPr>
        <w:t>January</w:t>
      </w:r>
      <w:r w:rsidRPr="00B14602">
        <w:rPr>
          <w:lang w:val="en-GB"/>
        </w:rPr>
        <w:t xml:space="preserve"> 2005 and is cross-referenced to a</w:t>
      </w:r>
      <w:r w:rsidR="00FF001C">
        <w:rPr>
          <w:lang w:val="en-GB"/>
        </w:rPr>
        <w:t xml:space="preserve"> </w:t>
      </w:r>
      <w:r w:rsidRPr="00B14602">
        <w:rPr>
          <w:lang w:val="en-GB"/>
        </w:rPr>
        <w:t xml:space="preserve">case </w:t>
      </w:r>
      <w:r w:rsidR="00FF001C">
        <w:rPr>
          <w:lang w:val="en-GB"/>
        </w:rPr>
        <w:t xml:space="preserve">no. </w:t>
      </w:r>
      <w:r w:rsidRPr="00B14602">
        <w:rPr>
          <w:lang w:val="en-GB"/>
        </w:rPr>
        <w:t>2001-000984. It contains the same information as the form above.</w:t>
      </w:r>
    </w:p>
    <w:p w:rsidR="00B14602" w:rsidRPr="00B14602" w:rsidRDefault="00B14602" w:rsidP="00E025EE">
      <w:pPr>
        <w:pStyle w:val="ColorfulList-Accent11"/>
        <w:tabs>
          <w:tab w:val="num" w:pos="360"/>
        </w:tabs>
        <w:ind w:left="360"/>
        <w:rPr>
          <w:lang w:val="en-GB"/>
        </w:rPr>
      </w:pPr>
    </w:p>
    <w:p w:rsidR="00B14602" w:rsidRDefault="00B14602"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 xml:space="preserve">By a memorandum, dated 25 June 2003, addressed “to whom it may concern”, the UNMIK Police Chief Identifications requested that “in case one of the Missing persons below will be identified, </w:t>
      </w:r>
      <w:proofErr w:type="spellStart"/>
      <w:r>
        <w:rPr>
          <w:lang w:val="en-GB"/>
        </w:rPr>
        <w:t>pls</w:t>
      </w:r>
      <w:proofErr w:type="spellEnd"/>
      <w:r>
        <w:rPr>
          <w:lang w:val="en-GB"/>
        </w:rPr>
        <w:t xml:space="preserve"> contact the CCIU”; the list has 11 names, including Mr </w:t>
      </w:r>
      <w:proofErr w:type="spellStart"/>
      <w:r w:rsidR="00E137E7">
        <w:rPr>
          <w:lang w:val="en-GB"/>
        </w:rPr>
        <w:t>Milenko</w:t>
      </w:r>
      <w:proofErr w:type="spellEnd"/>
      <w:r w:rsidR="00E137E7">
        <w:rPr>
          <w:lang w:val="en-GB"/>
        </w:rPr>
        <w:t xml:space="preserve"> </w:t>
      </w:r>
      <w:proofErr w:type="spellStart"/>
      <w:r>
        <w:rPr>
          <w:lang w:val="en-GB"/>
        </w:rPr>
        <w:t>Kabaš</w:t>
      </w:r>
      <w:proofErr w:type="spellEnd"/>
      <w:r>
        <w:rPr>
          <w:lang w:val="en-GB"/>
        </w:rPr>
        <w:t>.</w:t>
      </w:r>
    </w:p>
    <w:p w:rsidR="000C76D8" w:rsidRPr="000C76D8" w:rsidRDefault="000C76D8" w:rsidP="00E025EE">
      <w:pPr>
        <w:pStyle w:val="ColorfulList-Accent11"/>
        <w:tabs>
          <w:tab w:val="num" w:pos="360"/>
        </w:tabs>
        <w:ind w:left="360"/>
        <w:rPr>
          <w:lang w:val="en-GB"/>
        </w:rPr>
      </w:pPr>
    </w:p>
    <w:p w:rsidR="000C76D8" w:rsidRDefault="000C76D8" w:rsidP="00E025EE">
      <w:pPr>
        <w:pStyle w:val="ColorfulList-Accent11"/>
        <w:numPr>
          <w:ilvl w:val="0"/>
          <w:numId w:val="2"/>
        </w:numPr>
        <w:tabs>
          <w:tab w:val="clear" w:pos="810"/>
          <w:tab w:val="num" w:pos="360"/>
          <w:tab w:val="num" w:pos="540"/>
        </w:tabs>
        <w:suppressAutoHyphens w:val="0"/>
        <w:ind w:left="360"/>
        <w:contextualSpacing/>
        <w:jc w:val="both"/>
        <w:rPr>
          <w:lang w:val="en-GB"/>
        </w:rPr>
      </w:pPr>
      <w:bookmarkStart w:id="29" w:name="_Ref404259020"/>
      <w:r>
        <w:rPr>
          <w:lang w:val="en-GB"/>
        </w:rPr>
        <w:t xml:space="preserve">Also in a file is an undated typed record of a statement by Ms </w:t>
      </w:r>
      <w:proofErr w:type="spellStart"/>
      <w:r>
        <w:rPr>
          <w:lang w:val="en-GB"/>
        </w:rPr>
        <w:t>Rosanda</w:t>
      </w:r>
      <w:proofErr w:type="spellEnd"/>
      <w:r>
        <w:rPr>
          <w:lang w:val="en-GB"/>
        </w:rPr>
        <w:t xml:space="preserve"> </w:t>
      </w:r>
      <w:proofErr w:type="spellStart"/>
      <w:r>
        <w:rPr>
          <w:lang w:val="en-GB"/>
        </w:rPr>
        <w:t>Kabaš</w:t>
      </w:r>
      <w:proofErr w:type="spellEnd"/>
      <w:r w:rsidR="00533B51">
        <w:rPr>
          <w:lang w:val="en-GB"/>
        </w:rPr>
        <w:t>, cross-referenced to the case no. 2001-000984</w:t>
      </w:r>
      <w:r>
        <w:rPr>
          <w:lang w:val="en-GB"/>
        </w:rPr>
        <w:t xml:space="preserve">, where she provided details of what she witnessed during the abduction of her brother by </w:t>
      </w:r>
      <w:r w:rsidR="00E137E7">
        <w:rPr>
          <w:lang w:val="en-GB"/>
        </w:rPr>
        <w:t xml:space="preserve">the </w:t>
      </w:r>
      <w:r>
        <w:rPr>
          <w:lang w:val="en-GB"/>
        </w:rPr>
        <w:t>KLA. She stated that she identified one of the abductors as F.D.</w:t>
      </w:r>
      <w:r w:rsidR="00FF001C">
        <w:rPr>
          <w:lang w:val="en-GB"/>
        </w:rPr>
        <w:t xml:space="preserve">, who worked “as Professor in Elementary School in </w:t>
      </w:r>
      <w:proofErr w:type="spellStart"/>
      <w:r w:rsidR="00FF001C">
        <w:rPr>
          <w:lang w:val="en-GB"/>
        </w:rPr>
        <w:t>Djakovica</w:t>
      </w:r>
      <w:proofErr w:type="spellEnd"/>
      <w:r w:rsidR="00FF001C">
        <w:rPr>
          <w:lang w:val="en-GB"/>
        </w:rPr>
        <w:t>”.</w:t>
      </w:r>
      <w:bookmarkEnd w:id="29"/>
      <w:r w:rsidR="00FF001C">
        <w:rPr>
          <w:lang w:val="en-GB"/>
        </w:rPr>
        <w:t xml:space="preserve">  </w:t>
      </w:r>
      <w:r w:rsidR="00533B51">
        <w:rPr>
          <w:lang w:val="en-GB"/>
        </w:rPr>
        <w:t>The statement is not signed; it is also not clear who had recorded it.</w:t>
      </w:r>
    </w:p>
    <w:p w:rsidR="000C76D8" w:rsidRPr="000C76D8" w:rsidRDefault="000C76D8" w:rsidP="00E025EE">
      <w:pPr>
        <w:pStyle w:val="ColorfulList-Accent11"/>
        <w:tabs>
          <w:tab w:val="num" w:pos="360"/>
        </w:tabs>
        <w:ind w:left="360"/>
        <w:rPr>
          <w:lang w:val="en-GB"/>
        </w:rPr>
      </w:pPr>
    </w:p>
    <w:p w:rsidR="000C76D8" w:rsidRDefault="000C76D8"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The file further contains a printout from the Kosovo Police Information System database, dated 8 April 2005, containing personal identification details of the suspect, F.D.</w:t>
      </w:r>
    </w:p>
    <w:p w:rsidR="000C76D8" w:rsidRPr="000C76D8" w:rsidRDefault="000C76D8" w:rsidP="00E025EE">
      <w:pPr>
        <w:pStyle w:val="ColorfulList-Accent11"/>
        <w:tabs>
          <w:tab w:val="num" w:pos="360"/>
        </w:tabs>
        <w:ind w:left="360"/>
        <w:rPr>
          <w:lang w:val="en-GB"/>
        </w:rPr>
      </w:pPr>
    </w:p>
    <w:p w:rsidR="000C76D8" w:rsidRDefault="000C76D8"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A one-page printout fr</w:t>
      </w:r>
      <w:r w:rsidR="00FF001C">
        <w:rPr>
          <w:lang w:val="en-GB"/>
        </w:rPr>
        <w:t>o</w:t>
      </w:r>
      <w:r>
        <w:rPr>
          <w:lang w:val="en-GB"/>
        </w:rPr>
        <w:t>m the MPU database on the case no. 0505/INV/05</w:t>
      </w:r>
      <w:r w:rsidR="00FF001C">
        <w:rPr>
          <w:lang w:val="en-GB"/>
        </w:rPr>
        <w:t xml:space="preserve">, dated 11 April 2005, </w:t>
      </w:r>
      <w:r>
        <w:rPr>
          <w:lang w:val="en-GB"/>
        </w:rPr>
        <w:t xml:space="preserve">in relation to the disappearance of Mr </w:t>
      </w:r>
      <w:proofErr w:type="spellStart"/>
      <w:r w:rsidR="00FF001C">
        <w:rPr>
          <w:lang w:val="en-GB"/>
        </w:rPr>
        <w:t>Milenko</w:t>
      </w:r>
      <w:proofErr w:type="spellEnd"/>
      <w:r w:rsidR="00FF001C">
        <w:rPr>
          <w:lang w:val="en-GB"/>
        </w:rPr>
        <w:t xml:space="preserve"> </w:t>
      </w:r>
      <w:proofErr w:type="spellStart"/>
      <w:r>
        <w:rPr>
          <w:lang w:val="en-GB"/>
        </w:rPr>
        <w:t>Kabaš</w:t>
      </w:r>
      <w:proofErr w:type="spellEnd"/>
      <w:r>
        <w:rPr>
          <w:lang w:val="en-GB"/>
        </w:rPr>
        <w:t>, in the form “Invest. Notes”, provides details of his abduction</w:t>
      </w:r>
      <w:r w:rsidR="00E137E7">
        <w:rPr>
          <w:lang w:val="en-GB"/>
        </w:rPr>
        <w:t xml:space="preserve"> and</w:t>
      </w:r>
      <w:r>
        <w:rPr>
          <w:lang w:val="en-GB"/>
        </w:rPr>
        <w:t xml:space="preserve"> confirms the ident</w:t>
      </w:r>
      <w:r w:rsidR="00FF001C">
        <w:rPr>
          <w:lang w:val="en-GB"/>
        </w:rPr>
        <w:t>ification of the suspect by his sister. It also mentions the workplace of the suspect, stated by the witness (see above).</w:t>
      </w:r>
    </w:p>
    <w:p w:rsidR="000C76D8" w:rsidRPr="000C76D8" w:rsidRDefault="000C76D8" w:rsidP="00E025EE">
      <w:pPr>
        <w:pStyle w:val="ColorfulList-Accent11"/>
        <w:tabs>
          <w:tab w:val="num" w:pos="360"/>
        </w:tabs>
        <w:ind w:left="360"/>
        <w:rPr>
          <w:lang w:val="en-GB"/>
        </w:rPr>
      </w:pPr>
    </w:p>
    <w:p w:rsidR="00FF001C" w:rsidRPr="00EE6125" w:rsidRDefault="00FF001C" w:rsidP="00E025EE">
      <w:pPr>
        <w:pStyle w:val="ColorfulList-Accent11"/>
        <w:numPr>
          <w:ilvl w:val="0"/>
          <w:numId w:val="2"/>
        </w:numPr>
        <w:tabs>
          <w:tab w:val="clear" w:pos="810"/>
          <w:tab w:val="num" w:pos="360"/>
        </w:tabs>
        <w:suppressAutoHyphens w:val="0"/>
        <w:ind w:left="360"/>
        <w:contextualSpacing/>
        <w:jc w:val="both"/>
        <w:rPr>
          <w:color w:val="000000"/>
          <w:lang w:val="en-GB"/>
        </w:rPr>
      </w:pPr>
      <w:bookmarkStart w:id="30" w:name="_Ref405367009"/>
      <w:r w:rsidRPr="00EE6125">
        <w:rPr>
          <w:color w:val="000000"/>
          <w:lang w:val="en-GB"/>
        </w:rPr>
        <w:t>An MPU Ante-Mortem Investigation Report on the MPU case no. 0505/INV/05</w:t>
      </w:r>
      <w:r w:rsidRPr="00EE6125">
        <w:rPr>
          <w:color w:val="000000"/>
        </w:rPr>
        <w:t xml:space="preserve"> is </w:t>
      </w:r>
      <w:r w:rsidRPr="00EE6125">
        <w:rPr>
          <w:color w:val="000000"/>
          <w:lang w:val="en-GB"/>
        </w:rPr>
        <w:t>cross-referenced to a case no. 2000-001631. This report was initiated on 10 April 2005 and completed on the same day. On the front page of the report</w:t>
      </w:r>
      <w:r w:rsidR="00EA15E9">
        <w:rPr>
          <w:color w:val="000000"/>
          <w:lang w:val="en-GB"/>
        </w:rPr>
        <w:t>,</w:t>
      </w:r>
      <w:r w:rsidRPr="00EE6125">
        <w:rPr>
          <w:color w:val="000000"/>
          <w:lang w:val="en-GB"/>
        </w:rPr>
        <w:t xml:space="preserve"> the complainant, Ms </w:t>
      </w:r>
      <w:proofErr w:type="spellStart"/>
      <w:r w:rsidRPr="00EE6125">
        <w:rPr>
          <w:color w:val="000000"/>
          <w:lang w:val="en-GB"/>
        </w:rPr>
        <w:t>Rosanda</w:t>
      </w:r>
      <w:proofErr w:type="spellEnd"/>
      <w:r w:rsidRPr="00EE6125">
        <w:rPr>
          <w:color w:val="000000"/>
          <w:lang w:val="en-GB"/>
        </w:rPr>
        <w:t xml:space="preserve"> </w:t>
      </w:r>
      <w:proofErr w:type="spellStart"/>
      <w:r w:rsidRPr="00EE6125">
        <w:rPr>
          <w:color w:val="000000"/>
          <w:lang w:val="en-GB"/>
        </w:rPr>
        <w:t>Kabaš</w:t>
      </w:r>
      <w:proofErr w:type="spellEnd"/>
      <w:r w:rsidRPr="00EE6125">
        <w:rPr>
          <w:color w:val="000000"/>
          <w:lang w:val="en-GB"/>
        </w:rPr>
        <w:t xml:space="preserve">, is named as a witness, </w:t>
      </w:r>
      <w:r w:rsidR="008D52F2">
        <w:rPr>
          <w:color w:val="000000"/>
          <w:lang w:val="en-GB"/>
        </w:rPr>
        <w:t xml:space="preserve">while </w:t>
      </w:r>
      <w:r w:rsidRPr="00EE6125">
        <w:rPr>
          <w:color w:val="000000"/>
          <w:lang w:val="en-GB"/>
        </w:rPr>
        <w:t>F.D. as a suspect; the contact details for both are also provided.</w:t>
      </w:r>
      <w:bookmarkEnd w:id="30"/>
    </w:p>
    <w:p w:rsidR="00FF001C" w:rsidRPr="00EE6125" w:rsidRDefault="00FF001C" w:rsidP="00E025EE">
      <w:pPr>
        <w:pStyle w:val="ColorfulList-Accent11"/>
        <w:tabs>
          <w:tab w:val="num" w:pos="360"/>
        </w:tabs>
        <w:ind w:left="360"/>
        <w:rPr>
          <w:color w:val="000000"/>
          <w:lang w:val="en-GB"/>
        </w:rPr>
      </w:pPr>
    </w:p>
    <w:p w:rsidR="00FF001C" w:rsidRPr="00EE6125" w:rsidRDefault="00FF001C" w:rsidP="00E025EE">
      <w:pPr>
        <w:pStyle w:val="ColorfulList-Accent11"/>
        <w:numPr>
          <w:ilvl w:val="0"/>
          <w:numId w:val="2"/>
        </w:numPr>
        <w:tabs>
          <w:tab w:val="clear" w:pos="810"/>
          <w:tab w:val="num" w:pos="360"/>
        </w:tabs>
        <w:suppressAutoHyphens w:val="0"/>
        <w:ind w:left="360"/>
        <w:contextualSpacing/>
        <w:jc w:val="both"/>
        <w:rPr>
          <w:color w:val="000000"/>
          <w:lang w:val="en-GB"/>
        </w:rPr>
      </w:pPr>
      <w:bookmarkStart w:id="31" w:name="_Ref404697443"/>
      <w:r w:rsidRPr="00EE6125">
        <w:rPr>
          <w:color w:val="000000"/>
          <w:lang w:val="en-GB"/>
        </w:rPr>
        <w:t>This report</w:t>
      </w:r>
      <w:r w:rsidR="005A61F1" w:rsidRPr="00EE6125">
        <w:rPr>
          <w:color w:val="000000"/>
          <w:lang w:val="en-GB"/>
        </w:rPr>
        <w:t xml:space="preserve"> </w:t>
      </w:r>
      <w:r w:rsidR="005A61F1" w:rsidRPr="00C5394C">
        <w:rPr>
          <w:color w:val="000000"/>
          <w:lang w:val="en-GB"/>
        </w:rPr>
        <w:t xml:space="preserve">provides </w:t>
      </w:r>
      <w:r w:rsidR="00E137E7" w:rsidRPr="00C5394C">
        <w:rPr>
          <w:color w:val="000000"/>
          <w:lang w:val="en-GB"/>
        </w:rPr>
        <w:t xml:space="preserve">a </w:t>
      </w:r>
      <w:r w:rsidR="005A61F1" w:rsidRPr="00C5394C">
        <w:rPr>
          <w:color w:val="000000"/>
          <w:lang w:val="en-GB"/>
        </w:rPr>
        <w:t xml:space="preserve">very brief description </w:t>
      </w:r>
      <w:r w:rsidRPr="00C5394C">
        <w:rPr>
          <w:color w:val="000000"/>
          <w:lang w:val="en-GB"/>
        </w:rPr>
        <w:t xml:space="preserve">of </w:t>
      </w:r>
      <w:r w:rsidR="005A61F1" w:rsidRPr="00C5394C">
        <w:rPr>
          <w:color w:val="000000"/>
          <w:lang w:val="en-GB"/>
        </w:rPr>
        <w:t xml:space="preserve">the abduction of Mr </w:t>
      </w:r>
      <w:proofErr w:type="spellStart"/>
      <w:r w:rsidR="005A61F1" w:rsidRPr="00C5394C">
        <w:rPr>
          <w:color w:val="000000"/>
          <w:lang w:val="en-GB"/>
        </w:rPr>
        <w:t>Milenko</w:t>
      </w:r>
      <w:proofErr w:type="spellEnd"/>
      <w:r w:rsidR="005A61F1" w:rsidRPr="00C5394C">
        <w:rPr>
          <w:color w:val="000000"/>
          <w:lang w:val="en-GB"/>
        </w:rPr>
        <w:t xml:space="preserve"> </w:t>
      </w:r>
      <w:proofErr w:type="spellStart"/>
      <w:r w:rsidR="005A61F1" w:rsidRPr="00C5394C">
        <w:rPr>
          <w:color w:val="000000"/>
          <w:lang w:val="en-GB"/>
        </w:rPr>
        <w:t>Kabaš</w:t>
      </w:r>
      <w:proofErr w:type="spellEnd"/>
      <w:r w:rsidR="005A61F1" w:rsidRPr="00C5394C">
        <w:rPr>
          <w:color w:val="000000"/>
          <w:lang w:val="en-GB"/>
        </w:rPr>
        <w:t xml:space="preserve"> by KLA members and a verbatim repetition of the above-referred statement of Ms </w:t>
      </w:r>
      <w:proofErr w:type="spellStart"/>
      <w:r w:rsidR="005A61F1" w:rsidRPr="00C5394C">
        <w:rPr>
          <w:color w:val="000000"/>
          <w:lang w:val="en-GB"/>
        </w:rPr>
        <w:t>Rosanda</w:t>
      </w:r>
      <w:proofErr w:type="spellEnd"/>
      <w:r w:rsidR="005A61F1" w:rsidRPr="00C5394C">
        <w:rPr>
          <w:color w:val="000000"/>
          <w:lang w:val="en-GB"/>
        </w:rPr>
        <w:t xml:space="preserve"> </w:t>
      </w:r>
      <w:proofErr w:type="spellStart"/>
      <w:r w:rsidR="005A61F1" w:rsidRPr="00C5394C">
        <w:rPr>
          <w:color w:val="000000"/>
          <w:lang w:val="en-GB"/>
        </w:rPr>
        <w:t>Kabaš</w:t>
      </w:r>
      <w:proofErr w:type="spellEnd"/>
      <w:r w:rsidR="005A61F1" w:rsidRPr="00C5394C">
        <w:rPr>
          <w:color w:val="000000"/>
          <w:lang w:val="en-GB"/>
        </w:rPr>
        <w:t xml:space="preserve"> (see §</w:t>
      </w:r>
      <w:r w:rsidR="008B479E" w:rsidRPr="00C5394C">
        <w:rPr>
          <w:color w:val="000000"/>
          <w:lang w:val="en-GB"/>
        </w:rPr>
        <w:t xml:space="preserve"> </w:t>
      </w:r>
      <w:r w:rsidR="0037719A">
        <w:fldChar w:fldCharType="begin"/>
      </w:r>
      <w:r w:rsidR="0037719A">
        <w:instrText xml:space="preserve"> REF _Ref404259020 \r \h  \* MERGEFORMAT </w:instrText>
      </w:r>
      <w:r w:rsidR="0037719A">
        <w:fldChar w:fldCharType="separate"/>
      </w:r>
      <w:r w:rsidR="00A35759" w:rsidRPr="00A35759">
        <w:rPr>
          <w:color w:val="000000"/>
          <w:lang w:val="en-GB"/>
        </w:rPr>
        <w:t>79</w:t>
      </w:r>
      <w:r w:rsidR="0037719A">
        <w:fldChar w:fldCharType="end"/>
      </w:r>
      <w:r w:rsidR="005A61F1" w:rsidRPr="00C5394C">
        <w:rPr>
          <w:color w:val="000000"/>
          <w:lang w:val="en-GB"/>
        </w:rPr>
        <w:t>).</w:t>
      </w:r>
      <w:bookmarkStart w:id="32" w:name="_Ref378862956"/>
      <w:r w:rsidR="005A61F1" w:rsidRPr="00C5394C">
        <w:rPr>
          <w:color w:val="000000"/>
          <w:lang w:val="en-GB"/>
        </w:rPr>
        <w:t xml:space="preserve"> </w:t>
      </w:r>
      <w:r w:rsidRPr="00C5394C">
        <w:rPr>
          <w:color w:val="000000"/>
          <w:lang w:val="en-GB"/>
        </w:rPr>
        <w:t>The report’s field “Witness Interviewed” reads “No</w:t>
      </w:r>
      <w:r w:rsidR="005A61F1" w:rsidRPr="00C5394C">
        <w:rPr>
          <w:color w:val="000000"/>
          <w:lang w:val="en-GB"/>
        </w:rPr>
        <w:t xml:space="preserve">ne”. </w:t>
      </w:r>
      <w:r w:rsidRPr="00C5394C">
        <w:rPr>
          <w:color w:val="000000"/>
          <w:lang w:val="en-GB"/>
        </w:rPr>
        <w:t>At the conclusion of this report, the investigator</w:t>
      </w:r>
      <w:r w:rsidRPr="00EE6125">
        <w:rPr>
          <w:color w:val="000000"/>
          <w:lang w:val="en-GB"/>
        </w:rPr>
        <w:t xml:space="preserve"> wrote: “</w:t>
      </w:r>
      <w:r w:rsidR="005A61F1" w:rsidRPr="00EE6125">
        <w:rPr>
          <w:color w:val="000000"/>
          <w:lang w:val="en-GB"/>
        </w:rPr>
        <w:t>There is no information leading to a possible MP’s location. The case should remain open inactive with the WCU.</w:t>
      </w:r>
      <w:r w:rsidRPr="00EE6125">
        <w:rPr>
          <w:color w:val="000000"/>
          <w:lang w:val="en-GB"/>
        </w:rPr>
        <w:t>” The status of the case is put as “</w:t>
      </w:r>
      <w:r w:rsidR="005A61F1" w:rsidRPr="00EE6125">
        <w:rPr>
          <w:color w:val="000000"/>
          <w:lang w:val="en-GB"/>
        </w:rPr>
        <w:t>inactive</w:t>
      </w:r>
      <w:r w:rsidRPr="00EE6125">
        <w:rPr>
          <w:color w:val="000000"/>
          <w:lang w:val="en-GB"/>
        </w:rPr>
        <w:t>”</w:t>
      </w:r>
      <w:bookmarkEnd w:id="32"/>
      <w:r w:rsidR="005A61F1" w:rsidRPr="00EE6125">
        <w:rPr>
          <w:color w:val="000000"/>
          <w:lang w:val="en-GB"/>
        </w:rPr>
        <w:t>.</w:t>
      </w:r>
      <w:bookmarkEnd w:id="31"/>
    </w:p>
    <w:p w:rsidR="009F0D67" w:rsidRPr="00EE6125" w:rsidRDefault="009F0D67" w:rsidP="009F0D67">
      <w:pPr>
        <w:pStyle w:val="ColorfulList-Accent11"/>
        <w:rPr>
          <w:color w:val="000000"/>
          <w:lang w:val="en-GB"/>
        </w:rPr>
      </w:pPr>
    </w:p>
    <w:p w:rsidR="009F0D67" w:rsidRPr="009F0D67" w:rsidRDefault="009F0D67" w:rsidP="009F0D67">
      <w:pPr>
        <w:ind w:left="360"/>
        <w:jc w:val="both"/>
        <w:rPr>
          <w:i/>
        </w:rPr>
      </w:pPr>
      <w:r w:rsidRPr="009F0D67">
        <w:rPr>
          <w:i/>
        </w:rPr>
        <w:t xml:space="preserve">EULEX clarification </w:t>
      </w:r>
    </w:p>
    <w:p w:rsidR="009F0D67" w:rsidRPr="00EE6125" w:rsidRDefault="009F0D67" w:rsidP="009F0D67">
      <w:pPr>
        <w:pStyle w:val="Default"/>
        <w:widowControl w:val="0"/>
        <w:tabs>
          <w:tab w:val="left" w:pos="1080"/>
        </w:tabs>
        <w:suppressAutoHyphens/>
        <w:ind w:left="360"/>
        <w:jc w:val="both"/>
        <w:rPr>
          <w:bCs/>
          <w:lang w:val="en-GB"/>
        </w:rPr>
      </w:pPr>
    </w:p>
    <w:p w:rsidR="009F0D67" w:rsidRPr="00EE6125" w:rsidRDefault="009F0D67" w:rsidP="00E025EE">
      <w:pPr>
        <w:pStyle w:val="ColorfulList-Accent11"/>
        <w:numPr>
          <w:ilvl w:val="0"/>
          <w:numId w:val="2"/>
        </w:numPr>
        <w:tabs>
          <w:tab w:val="clear" w:pos="810"/>
          <w:tab w:val="num" w:pos="360"/>
          <w:tab w:val="num" w:pos="540"/>
        </w:tabs>
        <w:suppressAutoHyphens w:val="0"/>
        <w:ind w:left="360"/>
        <w:contextualSpacing/>
        <w:jc w:val="both"/>
        <w:rPr>
          <w:lang w:val="en-GB" w:eastAsia="en-GB"/>
        </w:rPr>
      </w:pPr>
      <w:bookmarkStart w:id="33" w:name="_Ref372532143"/>
      <w:r w:rsidRPr="00EE6125">
        <w:rPr>
          <w:lang w:val="en-GB" w:eastAsia="en-GB"/>
        </w:rPr>
        <w:t xml:space="preserve">As mentioned above (see § </w:t>
      </w:r>
      <w:r w:rsidR="002B1686" w:rsidRPr="00EE6125">
        <w:rPr>
          <w:lang w:val="en-GB" w:eastAsia="en-GB"/>
        </w:rPr>
        <w:fldChar w:fldCharType="begin"/>
      </w:r>
      <w:r w:rsidRPr="00EE6125">
        <w:rPr>
          <w:lang w:val="en-GB" w:eastAsia="en-GB"/>
        </w:rPr>
        <w:instrText xml:space="preserve"> </w:instrText>
      </w:r>
      <w:r w:rsidR="0078377B">
        <w:rPr>
          <w:lang w:val="en-GB" w:eastAsia="en-GB"/>
        </w:rPr>
        <w:instrText>REF</w:instrText>
      </w:r>
      <w:r w:rsidRPr="00EE6125">
        <w:rPr>
          <w:lang w:val="en-GB" w:eastAsia="en-GB"/>
        </w:rPr>
        <w:instrText xml:space="preserve"> _Ref373318637 \r \h </w:instrText>
      </w:r>
      <w:r w:rsidR="002B1686" w:rsidRPr="00EE6125">
        <w:rPr>
          <w:lang w:val="en-GB" w:eastAsia="en-GB"/>
        </w:rPr>
      </w:r>
      <w:r w:rsidR="002B1686" w:rsidRPr="00EE6125">
        <w:rPr>
          <w:lang w:val="en-GB" w:eastAsia="en-GB"/>
        </w:rPr>
        <w:fldChar w:fldCharType="separate"/>
      </w:r>
      <w:r w:rsidR="00A35759">
        <w:rPr>
          <w:lang w:val="en-GB" w:eastAsia="en-GB"/>
        </w:rPr>
        <w:t>14</w:t>
      </w:r>
      <w:r w:rsidR="002B1686" w:rsidRPr="00EE6125">
        <w:rPr>
          <w:lang w:val="en-GB" w:eastAsia="en-GB"/>
        </w:rPr>
        <w:fldChar w:fldCharType="end"/>
      </w:r>
      <w:r w:rsidRPr="00EE6125">
        <w:rPr>
          <w:lang w:val="en-GB" w:eastAsia="en-GB"/>
        </w:rPr>
        <w:t xml:space="preserve">), on 18 December 2009 the Panel </w:t>
      </w:r>
      <w:r w:rsidRPr="00EE6125">
        <w:rPr>
          <w:lang w:val="en-GB"/>
        </w:rPr>
        <w:t xml:space="preserve">requested EULEX to provide additional </w:t>
      </w:r>
      <w:r w:rsidRPr="00EE6125">
        <w:rPr>
          <w:lang w:val="en-GB" w:eastAsia="en-GB"/>
        </w:rPr>
        <w:t xml:space="preserve">information in relation to </w:t>
      </w:r>
      <w:r w:rsidR="00E137E7">
        <w:rPr>
          <w:lang w:val="en-GB" w:eastAsia="en-GB"/>
        </w:rPr>
        <w:t>43</w:t>
      </w:r>
      <w:r w:rsidRPr="00EE6125">
        <w:rPr>
          <w:lang w:val="en-GB" w:eastAsia="en-GB"/>
        </w:rPr>
        <w:t xml:space="preserve"> complaints before the Panel, including the complaint of Ms </w:t>
      </w:r>
      <w:proofErr w:type="spellStart"/>
      <w:r w:rsidRPr="00EE6125">
        <w:rPr>
          <w:lang w:val="en-GB" w:eastAsia="en-GB"/>
        </w:rPr>
        <w:t>Rosanda</w:t>
      </w:r>
      <w:proofErr w:type="spellEnd"/>
      <w:r w:rsidRPr="00EE6125">
        <w:rPr>
          <w:lang w:val="en-GB" w:eastAsia="en-GB"/>
        </w:rPr>
        <w:t xml:space="preserve"> </w:t>
      </w:r>
      <w:proofErr w:type="spellStart"/>
      <w:r w:rsidRPr="00EE6125">
        <w:rPr>
          <w:lang w:val="en-GB" w:eastAsia="en-GB"/>
        </w:rPr>
        <w:t>Kabaš</w:t>
      </w:r>
      <w:proofErr w:type="spellEnd"/>
      <w:r w:rsidRPr="00EE6125">
        <w:rPr>
          <w:bCs/>
          <w:lang w:val="en-GB"/>
        </w:rPr>
        <w:t xml:space="preserve">. In their </w:t>
      </w:r>
      <w:r w:rsidRPr="00EE6125">
        <w:rPr>
          <w:lang w:val="en-GB" w:eastAsia="en-GB"/>
        </w:rPr>
        <w:t>response</w:t>
      </w:r>
      <w:r w:rsidRPr="00EE6125">
        <w:rPr>
          <w:bCs/>
          <w:lang w:val="en-GB"/>
        </w:rPr>
        <w:t xml:space="preserve">, dated </w:t>
      </w:r>
      <w:r w:rsidRPr="00EE6125">
        <w:rPr>
          <w:lang w:val="en-GB" w:eastAsia="en-GB"/>
        </w:rPr>
        <w:t>23 March 2010, EULEX officers explained that they had searched the available sources</w:t>
      </w:r>
      <w:bookmarkEnd w:id="33"/>
      <w:r w:rsidRPr="00EE6125">
        <w:rPr>
          <w:lang w:val="en-GB" w:eastAsia="en-GB"/>
        </w:rPr>
        <w:t>, including the list of cases “found in July 2009 in the PTC building Archive room (not officially handed over from UNMIK to EULEX because no more “active” but dismissed, terminated or closed).”</w:t>
      </w:r>
    </w:p>
    <w:p w:rsidR="009F0D67" w:rsidRPr="00EE6125" w:rsidRDefault="009F0D67" w:rsidP="009F0D67">
      <w:pPr>
        <w:pStyle w:val="Default"/>
        <w:ind w:left="720"/>
        <w:jc w:val="both"/>
        <w:rPr>
          <w:lang w:val="en-GB" w:eastAsia="en-GB"/>
        </w:rPr>
      </w:pPr>
    </w:p>
    <w:p w:rsidR="009F0D67" w:rsidRPr="00EE6125" w:rsidRDefault="009F0D67" w:rsidP="00E025EE">
      <w:pPr>
        <w:pStyle w:val="ColorfulList-Accent11"/>
        <w:numPr>
          <w:ilvl w:val="0"/>
          <w:numId w:val="2"/>
        </w:numPr>
        <w:tabs>
          <w:tab w:val="clear" w:pos="810"/>
          <w:tab w:val="num" w:pos="360"/>
          <w:tab w:val="num" w:pos="540"/>
        </w:tabs>
        <w:suppressAutoHyphens w:val="0"/>
        <w:ind w:left="360"/>
        <w:contextualSpacing/>
        <w:jc w:val="both"/>
        <w:rPr>
          <w:lang w:val="en-GB" w:eastAsia="en-GB"/>
        </w:rPr>
      </w:pPr>
      <w:r w:rsidRPr="00EE6125">
        <w:rPr>
          <w:lang w:val="en-GB" w:eastAsia="en-GB"/>
        </w:rPr>
        <w:t xml:space="preserve">In the same response, EULEX added that the search was not exhaustive, as the available </w:t>
      </w:r>
      <w:r w:rsidRPr="00EE6125">
        <w:rPr>
          <w:lang w:val="en-GB"/>
        </w:rPr>
        <w:t>sources</w:t>
      </w:r>
      <w:r w:rsidRPr="00EE6125">
        <w:rPr>
          <w:lang w:val="en-GB" w:eastAsia="en-GB"/>
        </w:rPr>
        <w:t xml:space="preserve"> did not provide information on the following:</w:t>
      </w:r>
    </w:p>
    <w:p w:rsidR="00A8429D" w:rsidRDefault="00A8429D" w:rsidP="00A8429D">
      <w:pPr>
        <w:pStyle w:val="Default"/>
        <w:ind w:left="720"/>
        <w:jc w:val="both"/>
        <w:rPr>
          <w:lang w:val="en-GB" w:eastAsia="en-GB"/>
        </w:rPr>
      </w:pPr>
    </w:p>
    <w:p w:rsidR="009F0D67" w:rsidRPr="00EE6125" w:rsidRDefault="009F0D67" w:rsidP="009F0D67">
      <w:pPr>
        <w:pStyle w:val="Default"/>
        <w:numPr>
          <w:ilvl w:val="2"/>
          <w:numId w:val="2"/>
        </w:numPr>
        <w:ind w:left="720"/>
        <w:jc w:val="both"/>
        <w:rPr>
          <w:lang w:val="en-GB" w:eastAsia="en-GB"/>
        </w:rPr>
      </w:pPr>
      <w:r w:rsidRPr="00EE6125">
        <w:rPr>
          <w:lang w:val="en-GB" w:eastAsia="en-GB"/>
        </w:rPr>
        <w:t>cases, criminal reports or information that UNMIK Police never transferred to UNMIK prosecutors, or otherwise never reached UNMIK prosecutors;</w:t>
      </w:r>
    </w:p>
    <w:p w:rsidR="009F0D67" w:rsidRPr="00EE6125" w:rsidRDefault="009F0D67" w:rsidP="009F0D67">
      <w:pPr>
        <w:pStyle w:val="Default"/>
        <w:numPr>
          <w:ilvl w:val="2"/>
          <w:numId w:val="2"/>
        </w:numPr>
        <w:ind w:left="720"/>
        <w:jc w:val="both"/>
        <w:rPr>
          <w:lang w:val="en-GB" w:eastAsia="en-GB"/>
        </w:rPr>
      </w:pPr>
      <w:r w:rsidRPr="00EE6125">
        <w:rPr>
          <w:lang w:val="en-GB" w:eastAsia="en-GB"/>
        </w:rPr>
        <w:t>cases which were handled by UNMIK Police and were then transferred to local police or prosecutors, without reporting to UNMIK or EULEX prosecutors;</w:t>
      </w:r>
    </w:p>
    <w:p w:rsidR="009F0D67" w:rsidRPr="00EE6125" w:rsidRDefault="009F0D67" w:rsidP="009F0D67">
      <w:pPr>
        <w:pStyle w:val="Default"/>
        <w:numPr>
          <w:ilvl w:val="2"/>
          <w:numId w:val="2"/>
        </w:numPr>
        <w:ind w:left="720"/>
        <w:jc w:val="both"/>
        <w:rPr>
          <w:lang w:val="en-GB" w:eastAsia="en-GB"/>
        </w:rPr>
      </w:pPr>
      <w:proofErr w:type="gramStart"/>
      <w:r w:rsidRPr="00EE6125">
        <w:rPr>
          <w:lang w:val="en-GB" w:eastAsia="en-GB"/>
        </w:rPr>
        <w:t>many</w:t>
      </w:r>
      <w:proofErr w:type="gramEnd"/>
      <w:r w:rsidRPr="00EE6125">
        <w:rPr>
          <w:lang w:val="en-GB" w:eastAsia="en-GB"/>
        </w:rPr>
        <w:t xml:space="preserve"> cases which were handled by UNMIK prosecutors prior to creation of a centralised case registry by UNMIK DOJ, in 2003.</w:t>
      </w:r>
    </w:p>
    <w:p w:rsidR="009F0D67" w:rsidRPr="00EE6125" w:rsidRDefault="009F0D67" w:rsidP="009F0D67">
      <w:pPr>
        <w:pStyle w:val="Default"/>
        <w:ind w:left="360"/>
        <w:jc w:val="both"/>
        <w:rPr>
          <w:lang w:val="en-GB" w:eastAsia="en-GB"/>
        </w:rPr>
      </w:pPr>
    </w:p>
    <w:p w:rsidR="009F0D67" w:rsidRPr="00EE6125" w:rsidRDefault="009F0D67" w:rsidP="00E025EE">
      <w:pPr>
        <w:pStyle w:val="ColorfulList-Accent11"/>
        <w:numPr>
          <w:ilvl w:val="0"/>
          <w:numId w:val="2"/>
        </w:numPr>
        <w:tabs>
          <w:tab w:val="clear" w:pos="810"/>
          <w:tab w:val="num" w:pos="360"/>
          <w:tab w:val="num" w:pos="540"/>
        </w:tabs>
        <w:suppressAutoHyphens w:val="0"/>
        <w:ind w:left="360"/>
        <w:contextualSpacing/>
        <w:jc w:val="both"/>
        <w:rPr>
          <w:lang w:val="en-GB" w:eastAsia="en-GB"/>
        </w:rPr>
      </w:pPr>
      <w:bookmarkStart w:id="34" w:name="_Ref372532225"/>
      <w:r w:rsidRPr="00EE6125">
        <w:rPr>
          <w:lang w:val="en-GB" w:eastAsia="en-GB"/>
        </w:rPr>
        <w:t xml:space="preserve">However, the search in the EULEX files provided information on only two cases listed in the Panel’s request of 18 December 2009. No files or other information in relation to the </w:t>
      </w:r>
      <w:r w:rsidRPr="00EE6125">
        <w:rPr>
          <w:lang w:val="en-GB"/>
        </w:rPr>
        <w:t>other</w:t>
      </w:r>
      <w:r w:rsidRPr="00EE6125">
        <w:rPr>
          <w:lang w:val="en-GB" w:eastAsia="en-GB"/>
        </w:rPr>
        <w:t xml:space="preserve"> </w:t>
      </w:r>
      <w:r w:rsidR="00E137E7">
        <w:rPr>
          <w:lang w:val="en-GB" w:eastAsia="en-GB"/>
        </w:rPr>
        <w:t>41</w:t>
      </w:r>
      <w:r w:rsidRPr="00EE6125">
        <w:rPr>
          <w:lang w:val="en-GB" w:eastAsia="en-GB"/>
        </w:rPr>
        <w:t xml:space="preserve"> cases, including the complaint of </w:t>
      </w:r>
      <w:r w:rsidRPr="00EE6125">
        <w:rPr>
          <w:lang w:val="en-GB"/>
        </w:rPr>
        <w:t xml:space="preserve">Ms </w:t>
      </w:r>
      <w:proofErr w:type="spellStart"/>
      <w:r w:rsidRPr="00EE6125">
        <w:rPr>
          <w:lang w:val="en-GB"/>
        </w:rPr>
        <w:t>Rosanda</w:t>
      </w:r>
      <w:proofErr w:type="spellEnd"/>
      <w:r w:rsidRPr="00EE6125">
        <w:rPr>
          <w:lang w:val="en-GB"/>
        </w:rPr>
        <w:t xml:space="preserve"> </w:t>
      </w:r>
      <w:proofErr w:type="spellStart"/>
      <w:r w:rsidRPr="00EE6125">
        <w:rPr>
          <w:lang w:val="en-GB"/>
        </w:rPr>
        <w:t>Kabaš</w:t>
      </w:r>
      <w:proofErr w:type="spellEnd"/>
      <w:r w:rsidRPr="00EE6125">
        <w:rPr>
          <w:lang w:val="en-GB"/>
        </w:rPr>
        <w:t>, was found. EULEX were not able to confirm if the cases for which the files were not found “were ever investigated by UNMIK Police and/or Prosecutors.”</w:t>
      </w:r>
      <w:bookmarkEnd w:id="34"/>
    </w:p>
    <w:p w:rsidR="00935518" w:rsidRDefault="00935518" w:rsidP="00935518">
      <w:pPr>
        <w:pStyle w:val="ColorfulList-Accent11"/>
        <w:suppressAutoHyphens w:val="0"/>
        <w:ind w:left="360"/>
        <w:contextualSpacing/>
        <w:jc w:val="both"/>
        <w:rPr>
          <w:lang w:val="en-GB"/>
        </w:rPr>
      </w:pPr>
    </w:p>
    <w:p w:rsidR="00447C5A" w:rsidRPr="00ED60CA" w:rsidRDefault="00447C5A" w:rsidP="00447C5A">
      <w:pPr>
        <w:pStyle w:val="ColorfulList-Accent11"/>
        <w:numPr>
          <w:ilvl w:val="0"/>
          <w:numId w:val="14"/>
        </w:numPr>
        <w:ind w:left="270" w:hanging="270"/>
        <w:jc w:val="both"/>
        <w:rPr>
          <w:i/>
          <w:lang w:val="en-GB"/>
        </w:rPr>
      </w:pPr>
      <w:r w:rsidRPr="00E137E7">
        <w:rPr>
          <w:i/>
          <w:color w:val="000000" w:themeColor="text1"/>
          <w:lang w:val="en-GB"/>
        </w:rPr>
        <w:t xml:space="preserve">Investigation in relation to Mr and Mrs </w:t>
      </w:r>
      <w:proofErr w:type="spellStart"/>
      <w:r w:rsidRPr="00E137E7">
        <w:rPr>
          <w:i/>
          <w:color w:val="000000" w:themeColor="text1"/>
          <w:lang w:val="en-GB"/>
        </w:rPr>
        <w:t>Petrović</w:t>
      </w:r>
      <w:proofErr w:type="spellEnd"/>
      <w:r w:rsidR="00533B51" w:rsidRPr="00E137E7">
        <w:rPr>
          <w:i/>
          <w:color w:val="000000" w:themeColor="text1"/>
          <w:lang w:val="en-GB"/>
        </w:rPr>
        <w:t xml:space="preserve"> (case</w:t>
      </w:r>
      <w:r w:rsidR="00625079" w:rsidRPr="00E137E7">
        <w:rPr>
          <w:i/>
          <w:color w:val="000000" w:themeColor="text1"/>
          <w:lang w:val="en-GB"/>
        </w:rPr>
        <w:t>s</w:t>
      </w:r>
      <w:r w:rsidR="00533B51" w:rsidRPr="00E137E7">
        <w:rPr>
          <w:i/>
          <w:color w:val="000000" w:themeColor="text1"/>
          <w:lang w:val="en-GB"/>
        </w:rPr>
        <w:t xml:space="preserve"> no</w:t>
      </w:r>
      <w:r w:rsidR="00625079" w:rsidRPr="00E137E7">
        <w:rPr>
          <w:i/>
          <w:color w:val="000000" w:themeColor="text1"/>
          <w:lang w:val="en-GB"/>
        </w:rPr>
        <w:t>s</w:t>
      </w:r>
      <w:r w:rsidR="00533B51" w:rsidRPr="00E137E7">
        <w:rPr>
          <w:i/>
          <w:color w:val="000000" w:themeColor="text1"/>
          <w:lang w:val="en-GB"/>
        </w:rPr>
        <w:t xml:space="preserve"> 2000-000310</w:t>
      </w:r>
      <w:r w:rsidR="00625079" w:rsidRPr="00E137E7">
        <w:rPr>
          <w:i/>
          <w:color w:val="000000" w:themeColor="text1"/>
          <w:lang w:val="en-GB"/>
        </w:rPr>
        <w:t>, 2003-00006 and</w:t>
      </w:r>
      <w:r w:rsidR="00625079">
        <w:rPr>
          <w:i/>
          <w:lang w:val="en-GB"/>
        </w:rPr>
        <w:t xml:space="preserve"> </w:t>
      </w:r>
      <w:r w:rsidR="00625079" w:rsidRPr="00625079">
        <w:rPr>
          <w:i/>
          <w:lang w:val="en-GB"/>
        </w:rPr>
        <w:t>2003-00007</w:t>
      </w:r>
      <w:r w:rsidR="00533B51" w:rsidRPr="00625079">
        <w:rPr>
          <w:i/>
          <w:lang w:val="en-GB"/>
        </w:rPr>
        <w:t>)</w:t>
      </w:r>
    </w:p>
    <w:p w:rsidR="00447C5A" w:rsidRDefault="00447C5A" w:rsidP="00CA6855">
      <w:pPr>
        <w:ind w:left="360"/>
        <w:jc w:val="both"/>
        <w:rPr>
          <w:color w:val="FF0000"/>
        </w:rPr>
      </w:pPr>
    </w:p>
    <w:p w:rsidR="00894C0F" w:rsidRDefault="008B479E"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 xml:space="preserve">The </w:t>
      </w:r>
      <w:r w:rsidR="00B4192A">
        <w:rPr>
          <w:lang w:val="en-GB"/>
        </w:rPr>
        <w:t xml:space="preserve">oldest </w:t>
      </w:r>
      <w:r>
        <w:rPr>
          <w:lang w:val="en-GB"/>
        </w:rPr>
        <w:t>document in the file</w:t>
      </w:r>
      <w:r w:rsidR="00B4192A">
        <w:rPr>
          <w:lang w:val="en-GB"/>
        </w:rPr>
        <w:t xml:space="preserve"> is a Human Rights Interview/Incident Form, completed by </w:t>
      </w:r>
      <w:r w:rsidR="00E137E7">
        <w:rPr>
          <w:lang w:val="en-GB"/>
        </w:rPr>
        <w:t xml:space="preserve">the </w:t>
      </w:r>
      <w:r w:rsidR="00B4192A">
        <w:rPr>
          <w:lang w:val="en-GB"/>
        </w:rPr>
        <w:t>OSCE Mission in Kosovo on 2</w:t>
      </w:r>
      <w:r w:rsidR="00694515">
        <w:rPr>
          <w:lang w:val="en-GB"/>
        </w:rPr>
        <w:t xml:space="preserve">3 December </w:t>
      </w:r>
      <w:r w:rsidR="00B4192A">
        <w:rPr>
          <w:lang w:val="en-GB"/>
        </w:rPr>
        <w:t xml:space="preserve">1999 (reference no. GN/ST/023/99). It transpires from the text that on that day a distant relative of Mr and Mrs </w:t>
      </w:r>
      <w:proofErr w:type="spellStart"/>
      <w:r w:rsidR="00B4192A">
        <w:rPr>
          <w:lang w:val="en-GB"/>
        </w:rPr>
        <w:t>Petrović</w:t>
      </w:r>
      <w:proofErr w:type="spellEnd"/>
      <w:r w:rsidR="00B4192A">
        <w:rPr>
          <w:lang w:val="en-GB"/>
        </w:rPr>
        <w:t xml:space="preserve"> reported their disappearance to the OSCE </w:t>
      </w:r>
      <w:r w:rsidR="00B4192A" w:rsidRPr="00B4192A">
        <w:rPr>
          <w:lang w:val="en-GB"/>
        </w:rPr>
        <w:t xml:space="preserve">office in </w:t>
      </w:r>
      <w:proofErr w:type="spellStart"/>
      <w:r w:rsidR="00B4192A" w:rsidRPr="00B4192A">
        <w:rPr>
          <w:lang w:val="es-ES_tradnl"/>
        </w:rPr>
        <w:t>Shtërpcë</w:t>
      </w:r>
      <w:proofErr w:type="spellEnd"/>
      <w:r w:rsidR="00B4192A" w:rsidRPr="00B4192A">
        <w:rPr>
          <w:lang w:val="es-ES_tradnl"/>
        </w:rPr>
        <w:t>/</w:t>
      </w:r>
      <w:proofErr w:type="spellStart"/>
      <w:r w:rsidR="00B4192A" w:rsidRPr="00B4192A">
        <w:rPr>
          <w:color w:val="000000"/>
        </w:rPr>
        <w:t>Štrpce</w:t>
      </w:r>
      <w:proofErr w:type="spellEnd"/>
      <w:r w:rsidR="00CD25DA">
        <w:rPr>
          <w:color w:val="000000"/>
        </w:rPr>
        <w:t>.</w:t>
      </w:r>
      <w:r w:rsidR="00B4192A">
        <w:rPr>
          <w:lang w:val="en-GB"/>
        </w:rPr>
        <w:t xml:space="preserve"> She provided only brief details of their disappearance, although naming two potential eye-witnesses</w:t>
      </w:r>
      <w:r w:rsidR="00A8429D">
        <w:rPr>
          <w:lang w:val="en-GB"/>
        </w:rPr>
        <w:t xml:space="preserve">, </w:t>
      </w:r>
      <w:r w:rsidR="00ED60CA">
        <w:rPr>
          <w:lang w:val="en-GB"/>
        </w:rPr>
        <w:t>A.N. and R.N.</w:t>
      </w:r>
      <w:r w:rsidR="00B4192A">
        <w:rPr>
          <w:lang w:val="en-GB"/>
        </w:rPr>
        <w:t xml:space="preserve"> </w:t>
      </w:r>
      <w:r w:rsidR="00B4192A" w:rsidRPr="00B4192A">
        <w:rPr>
          <w:lang w:val="en-GB"/>
        </w:rPr>
        <w:t>The</w:t>
      </w:r>
      <w:r w:rsidR="00894C0F">
        <w:rPr>
          <w:lang w:val="en-GB"/>
        </w:rPr>
        <w:t xml:space="preserve"> name and the complete contact details of the reporting party are in this form.</w:t>
      </w:r>
    </w:p>
    <w:p w:rsidR="00894C0F" w:rsidRDefault="00894C0F" w:rsidP="00E025EE">
      <w:pPr>
        <w:pStyle w:val="ColorfulList-Accent11"/>
        <w:tabs>
          <w:tab w:val="num" w:pos="360"/>
        </w:tabs>
        <w:suppressAutoHyphens w:val="0"/>
        <w:ind w:left="360"/>
        <w:contextualSpacing/>
        <w:jc w:val="both"/>
        <w:rPr>
          <w:lang w:val="en-GB"/>
        </w:rPr>
      </w:pPr>
    </w:p>
    <w:p w:rsidR="00B4192A" w:rsidRPr="00C5394C" w:rsidRDefault="00894C0F"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 xml:space="preserve">Attached to this form is a copy of Mr Milan </w:t>
      </w:r>
      <w:proofErr w:type="spellStart"/>
      <w:r>
        <w:rPr>
          <w:lang w:val="en-GB"/>
        </w:rPr>
        <w:t>Petrović’s</w:t>
      </w:r>
      <w:proofErr w:type="spellEnd"/>
      <w:r>
        <w:rPr>
          <w:lang w:val="en-GB"/>
        </w:rPr>
        <w:t xml:space="preserve"> “Report on Missing Persons”, providing the details of their </w:t>
      </w:r>
      <w:r w:rsidRPr="00C5394C">
        <w:rPr>
          <w:lang w:val="en-GB"/>
        </w:rPr>
        <w:t xml:space="preserve">abduction and their description, with photographs attached to it, as well as a copy of his above-mentioned public announcement, where he offered a reward for assistance in finding his parents (see § </w:t>
      </w:r>
      <w:r w:rsidR="0037719A">
        <w:fldChar w:fldCharType="begin"/>
      </w:r>
      <w:r w:rsidR="0037719A">
        <w:instrText xml:space="preserve"> REF _Ref404598204 \r \h  \* MERGEFORMAT </w:instrText>
      </w:r>
      <w:r w:rsidR="0037719A">
        <w:fldChar w:fldCharType="separate"/>
      </w:r>
      <w:r w:rsidR="00A35759" w:rsidRPr="00A35759">
        <w:rPr>
          <w:lang w:val="en-GB"/>
        </w:rPr>
        <w:t>64</w:t>
      </w:r>
      <w:r w:rsidR="0037719A">
        <w:fldChar w:fldCharType="end"/>
      </w:r>
      <w:r w:rsidRPr="00C5394C">
        <w:rPr>
          <w:lang w:val="en-GB"/>
        </w:rPr>
        <w:t xml:space="preserve"> above).</w:t>
      </w:r>
    </w:p>
    <w:p w:rsidR="00694515" w:rsidRDefault="00694515" w:rsidP="00E025EE">
      <w:pPr>
        <w:pStyle w:val="ColorfulList-Accent11"/>
        <w:tabs>
          <w:tab w:val="num" w:pos="360"/>
        </w:tabs>
        <w:suppressAutoHyphens w:val="0"/>
        <w:ind w:left="360"/>
        <w:contextualSpacing/>
        <w:jc w:val="both"/>
        <w:rPr>
          <w:lang w:val="en-GB"/>
        </w:rPr>
      </w:pPr>
    </w:p>
    <w:p w:rsidR="00694515" w:rsidRPr="0030386E" w:rsidRDefault="00694515" w:rsidP="00E025EE">
      <w:pPr>
        <w:pStyle w:val="ColorfulList-Accent11"/>
        <w:numPr>
          <w:ilvl w:val="0"/>
          <w:numId w:val="2"/>
        </w:numPr>
        <w:tabs>
          <w:tab w:val="clear" w:pos="810"/>
          <w:tab w:val="num" w:pos="360"/>
          <w:tab w:val="num" w:pos="540"/>
        </w:tabs>
        <w:suppressAutoHyphens w:val="0"/>
        <w:ind w:left="360"/>
        <w:contextualSpacing/>
        <w:jc w:val="both"/>
        <w:rPr>
          <w:lang w:val="en-GB"/>
        </w:rPr>
      </w:pPr>
      <w:bookmarkStart w:id="35" w:name="_Ref404679473"/>
      <w:r w:rsidRPr="0030386E">
        <w:rPr>
          <w:lang w:val="en-GB"/>
        </w:rPr>
        <w:t xml:space="preserve">An MPU CCR on the case </w:t>
      </w:r>
      <w:r w:rsidR="00533B51">
        <w:rPr>
          <w:lang w:val="en-GB"/>
        </w:rPr>
        <w:t xml:space="preserve">no. </w:t>
      </w:r>
      <w:r w:rsidRPr="0030386E">
        <w:rPr>
          <w:lang w:val="en-GB"/>
        </w:rPr>
        <w:t>200</w:t>
      </w:r>
      <w:r w:rsidR="00313424" w:rsidRPr="0030386E">
        <w:rPr>
          <w:lang w:val="en-GB"/>
        </w:rPr>
        <w:t>0</w:t>
      </w:r>
      <w:r w:rsidRPr="0030386E">
        <w:rPr>
          <w:lang w:val="en-GB"/>
        </w:rPr>
        <w:t>-000</w:t>
      </w:r>
      <w:r w:rsidR="00313424" w:rsidRPr="0030386E">
        <w:rPr>
          <w:lang w:val="en-GB"/>
        </w:rPr>
        <w:t>310</w:t>
      </w:r>
      <w:r w:rsidRPr="0030386E">
        <w:rPr>
          <w:lang w:val="en-GB"/>
        </w:rPr>
        <w:t xml:space="preserve"> has </w:t>
      </w:r>
      <w:r w:rsidR="00313424" w:rsidRPr="0030386E">
        <w:rPr>
          <w:lang w:val="en-GB"/>
        </w:rPr>
        <w:t xml:space="preserve">four entries: of 9 May 2000, “Input </w:t>
      </w:r>
      <w:r w:rsidRPr="0030386E">
        <w:rPr>
          <w:lang w:val="en-GB"/>
        </w:rPr>
        <w:t xml:space="preserve">DB </w:t>
      </w:r>
      <w:r w:rsidR="00313424" w:rsidRPr="0030386E">
        <w:rPr>
          <w:lang w:val="en-GB"/>
        </w:rPr>
        <w:t xml:space="preserve">– OK, </w:t>
      </w:r>
      <w:r w:rsidRPr="0030386E">
        <w:rPr>
          <w:lang w:val="en-GB"/>
        </w:rPr>
        <w:t xml:space="preserve">of </w:t>
      </w:r>
      <w:r w:rsidR="00313424" w:rsidRPr="0030386E">
        <w:rPr>
          <w:lang w:val="en-GB"/>
        </w:rPr>
        <w:t>21 December 2000, “Add page from ICRC”, and two additional inputs to the MPU database, both on 18 February 2002.</w:t>
      </w:r>
      <w:bookmarkEnd w:id="35"/>
    </w:p>
    <w:p w:rsidR="00694515" w:rsidRPr="0030386E" w:rsidRDefault="00694515" w:rsidP="00E025EE">
      <w:pPr>
        <w:pStyle w:val="ColorfulList-Accent11"/>
        <w:tabs>
          <w:tab w:val="num" w:pos="360"/>
        </w:tabs>
        <w:suppressAutoHyphens w:val="0"/>
        <w:ind w:left="360"/>
        <w:contextualSpacing/>
        <w:jc w:val="both"/>
        <w:rPr>
          <w:lang w:val="en-GB"/>
        </w:rPr>
      </w:pPr>
    </w:p>
    <w:p w:rsidR="00694515" w:rsidRPr="0030386E" w:rsidRDefault="00694515" w:rsidP="00E025EE">
      <w:pPr>
        <w:pStyle w:val="ColorfulList-Accent11"/>
        <w:numPr>
          <w:ilvl w:val="0"/>
          <w:numId w:val="2"/>
        </w:numPr>
        <w:tabs>
          <w:tab w:val="clear" w:pos="810"/>
          <w:tab w:val="num" w:pos="360"/>
          <w:tab w:val="num" w:pos="540"/>
        </w:tabs>
        <w:suppressAutoHyphens w:val="0"/>
        <w:ind w:left="360"/>
        <w:contextualSpacing/>
        <w:jc w:val="both"/>
        <w:rPr>
          <w:lang w:val="en-GB"/>
        </w:rPr>
      </w:pPr>
      <w:r w:rsidRPr="0030386E">
        <w:rPr>
          <w:lang w:val="en-GB"/>
        </w:rPr>
        <w:t xml:space="preserve">The file further contains two Victim Identification Form for </w:t>
      </w:r>
      <w:r w:rsidR="00195CB7" w:rsidRPr="0030386E">
        <w:rPr>
          <w:lang w:val="en-GB"/>
        </w:rPr>
        <w:t xml:space="preserve">Mr and Mrs </w:t>
      </w:r>
      <w:proofErr w:type="spellStart"/>
      <w:r w:rsidR="00195CB7" w:rsidRPr="0030386E">
        <w:rPr>
          <w:lang w:val="en-GB"/>
        </w:rPr>
        <w:t>Petrović</w:t>
      </w:r>
      <w:proofErr w:type="spellEnd"/>
      <w:r w:rsidRPr="0030386E">
        <w:rPr>
          <w:lang w:val="en-GB"/>
        </w:rPr>
        <w:t xml:space="preserve">, apparently completed by the ICRC </w:t>
      </w:r>
      <w:r w:rsidRPr="0030386E">
        <w:rPr>
          <w:bCs/>
          <w:lang w:val="en-GB"/>
        </w:rPr>
        <w:t xml:space="preserve">between 1 July and 20 September 2001 (see § </w:t>
      </w:r>
      <w:r w:rsidR="0037719A">
        <w:fldChar w:fldCharType="begin"/>
      </w:r>
      <w:r w:rsidR="0037719A">
        <w:instrText xml:space="preserve"> REF _Ref404593646 \r \h  \* MERGEFORMAT </w:instrText>
      </w:r>
      <w:r w:rsidR="0037719A">
        <w:fldChar w:fldCharType="separate"/>
      </w:r>
      <w:r w:rsidR="00A35759" w:rsidRPr="00A35759">
        <w:rPr>
          <w:bCs/>
          <w:lang w:val="en-GB"/>
        </w:rPr>
        <w:t>65</w:t>
      </w:r>
      <w:r w:rsidR="0037719A">
        <w:fldChar w:fldCharType="end"/>
      </w:r>
      <w:r w:rsidRPr="0030386E">
        <w:rPr>
          <w:bCs/>
          <w:lang w:val="en-GB"/>
        </w:rPr>
        <w:t xml:space="preserve"> above)</w:t>
      </w:r>
      <w:r w:rsidR="00195CB7" w:rsidRPr="0030386E">
        <w:rPr>
          <w:bCs/>
          <w:lang w:val="en-GB"/>
        </w:rPr>
        <w:t>, both</w:t>
      </w:r>
      <w:r w:rsidRPr="0030386E">
        <w:rPr>
          <w:bCs/>
          <w:lang w:val="en-GB"/>
        </w:rPr>
        <w:t xml:space="preserve"> completed by hand-writing, in Serbian</w:t>
      </w:r>
      <w:r w:rsidR="00195CB7" w:rsidRPr="0030386E">
        <w:rPr>
          <w:bCs/>
          <w:lang w:val="en-GB"/>
        </w:rPr>
        <w:t xml:space="preserve">, and </w:t>
      </w:r>
      <w:r w:rsidR="00195CB7" w:rsidRPr="0030386E">
        <w:rPr>
          <w:lang w:val="en-GB"/>
        </w:rPr>
        <w:t xml:space="preserve">cross referenced to the MPU case no. 2000-010310. </w:t>
      </w:r>
      <w:r w:rsidRPr="0030386E">
        <w:rPr>
          <w:lang w:val="en-GB"/>
        </w:rPr>
        <w:t xml:space="preserve">Besides </w:t>
      </w:r>
      <w:r w:rsidR="00195CB7" w:rsidRPr="0030386E">
        <w:rPr>
          <w:lang w:val="en-GB"/>
        </w:rPr>
        <w:t xml:space="preserve">their </w:t>
      </w:r>
      <w:r w:rsidRPr="0030386E">
        <w:rPr>
          <w:lang w:val="en-GB"/>
        </w:rPr>
        <w:t xml:space="preserve">personal details and ante-mortem description, </w:t>
      </w:r>
      <w:r w:rsidR="00195CB7" w:rsidRPr="0030386E">
        <w:rPr>
          <w:lang w:val="en-GB"/>
        </w:rPr>
        <w:t>they</w:t>
      </w:r>
      <w:r w:rsidRPr="0030386E">
        <w:rPr>
          <w:lang w:val="en-GB"/>
        </w:rPr>
        <w:t xml:space="preserve"> provide the name and complete contact details of </w:t>
      </w:r>
      <w:r w:rsidR="00195CB7" w:rsidRPr="0030386E">
        <w:rPr>
          <w:lang w:val="en-GB"/>
        </w:rPr>
        <w:t xml:space="preserve">the complainant </w:t>
      </w:r>
      <w:r w:rsidRPr="0030386E">
        <w:rPr>
          <w:lang w:val="en-GB"/>
        </w:rPr>
        <w:t>(</w:t>
      </w:r>
      <w:r w:rsidR="00195CB7" w:rsidRPr="0030386E">
        <w:rPr>
          <w:lang w:val="en-GB"/>
        </w:rPr>
        <w:t xml:space="preserve">Mr Milan </w:t>
      </w:r>
      <w:proofErr w:type="spellStart"/>
      <w:r w:rsidR="00195CB7" w:rsidRPr="0030386E">
        <w:rPr>
          <w:lang w:val="en-GB"/>
        </w:rPr>
        <w:t>Petrović</w:t>
      </w:r>
      <w:proofErr w:type="spellEnd"/>
      <w:r w:rsidRPr="0030386E">
        <w:rPr>
          <w:lang w:val="en-GB"/>
        </w:rPr>
        <w:t>)</w:t>
      </w:r>
      <w:r w:rsidR="00195CB7" w:rsidRPr="0030386E">
        <w:rPr>
          <w:lang w:val="en-GB"/>
        </w:rPr>
        <w:t>, and two more relatives of his missing parents. A number of their</w:t>
      </w:r>
      <w:r w:rsidRPr="0030386E">
        <w:rPr>
          <w:lang w:val="en-GB"/>
        </w:rPr>
        <w:t xml:space="preserve"> photograph</w:t>
      </w:r>
      <w:r w:rsidR="0030386E" w:rsidRPr="0030386E">
        <w:rPr>
          <w:lang w:val="en-GB"/>
        </w:rPr>
        <w:t>s</w:t>
      </w:r>
      <w:r w:rsidRPr="0030386E">
        <w:rPr>
          <w:lang w:val="en-GB"/>
        </w:rPr>
        <w:t xml:space="preserve"> </w:t>
      </w:r>
      <w:r w:rsidR="00195CB7" w:rsidRPr="0030386E">
        <w:rPr>
          <w:lang w:val="en-GB"/>
        </w:rPr>
        <w:t>are</w:t>
      </w:r>
      <w:r w:rsidRPr="0030386E">
        <w:rPr>
          <w:lang w:val="en-GB"/>
        </w:rPr>
        <w:t xml:space="preserve"> attached to th</w:t>
      </w:r>
      <w:r w:rsidR="00195CB7" w:rsidRPr="0030386E">
        <w:rPr>
          <w:lang w:val="en-GB"/>
        </w:rPr>
        <w:t xml:space="preserve">ese </w:t>
      </w:r>
      <w:r w:rsidRPr="0030386E">
        <w:rPr>
          <w:lang w:val="en-GB"/>
        </w:rPr>
        <w:t>form</w:t>
      </w:r>
      <w:r w:rsidR="00195CB7" w:rsidRPr="0030386E">
        <w:rPr>
          <w:lang w:val="en-GB"/>
        </w:rPr>
        <w:t>s</w:t>
      </w:r>
      <w:r w:rsidRPr="0030386E">
        <w:rPr>
          <w:lang w:val="en-GB"/>
        </w:rPr>
        <w:t>.</w:t>
      </w:r>
      <w:r w:rsidR="00195CB7" w:rsidRPr="0030386E">
        <w:rPr>
          <w:lang w:val="en-GB"/>
        </w:rPr>
        <w:t xml:space="preserve"> In addition, the forms state: “There is information that they had been killed and thrown in the river from the ‘</w:t>
      </w:r>
      <w:proofErr w:type="spellStart"/>
      <w:r w:rsidR="00195CB7" w:rsidRPr="0030386E">
        <w:rPr>
          <w:lang w:val="en-GB"/>
        </w:rPr>
        <w:t>Terzijski</w:t>
      </w:r>
      <w:proofErr w:type="spellEnd"/>
      <w:r w:rsidR="00195CB7" w:rsidRPr="0030386E">
        <w:rPr>
          <w:lang w:val="en-GB"/>
        </w:rPr>
        <w:t xml:space="preserve">’ bridge, </w:t>
      </w:r>
      <w:proofErr w:type="spellStart"/>
      <w:r w:rsidR="00195CB7" w:rsidRPr="0030386E">
        <w:rPr>
          <w:lang w:val="en-GB"/>
        </w:rPr>
        <w:t>Djakovica</w:t>
      </w:r>
      <w:proofErr w:type="spellEnd"/>
      <w:r w:rsidR="00195CB7" w:rsidRPr="0030386E">
        <w:rPr>
          <w:lang w:val="en-GB"/>
        </w:rPr>
        <w:t xml:space="preserve">.” </w:t>
      </w:r>
    </w:p>
    <w:p w:rsidR="00B4192A" w:rsidRDefault="00B4192A" w:rsidP="00E025EE">
      <w:pPr>
        <w:pStyle w:val="ColorfulList-Accent11"/>
        <w:tabs>
          <w:tab w:val="num" w:pos="360"/>
        </w:tabs>
        <w:suppressAutoHyphens w:val="0"/>
        <w:ind w:left="360"/>
        <w:contextualSpacing/>
        <w:jc w:val="both"/>
        <w:rPr>
          <w:lang w:val="en-GB"/>
        </w:rPr>
      </w:pPr>
    </w:p>
    <w:p w:rsidR="00ED60CA" w:rsidRDefault="00ED60CA" w:rsidP="00E025EE">
      <w:pPr>
        <w:pStyle w:val="ColorfulList-Accent11"/>
        <w:numPr>
          <w:ilvl w:val="0"/>
          <w:numId w:val="2"/>
        </w:numPr>
        <w:tabs>
          <w:tab w:val="clear" w:pos="810"/>
          <w:tab w:val="num" w:pos="360"/>
          <w:tab w:val="num" w:pos="540"/>
        </w:tabs>
        <w:suppressAutoHyphens w:val="0"/>
        <w:ind w:left="360"/>
        <w:contextualSpacing/>
        <w:jc w:val="both"/>
        <w:rPr>
          <w:lang w:val="en-GB"/>
        </w:rPr>
      </w:pPr>
      <w:bookmarkStart w:id="36" w:name="_Ref404264200"/>
      <w:r>
        <w:rPr>
          <w:lang w:val="en-GB"/>
        </w:rPr>
        <w:lastRenderedPageBreak/>
        <w:t xml:space="preserve">The file further contains a letter from </w:t>
      </w:r>
      <w:r w:rsidR="00E137E7">
        <w:rPr>
          <w:lang w:val="en-GB"/>
        </w:rPr>
        <w:t xml:space="preserve">the </w:t>
      </w:r>
      <w:r>
        <w:rPr>
          <w:lang w:val="en-GB"/>
        </w:rPr>
        <w:t xml:space="preserve">Serbian MUP, dated 30 January 2003, to UNMIK Police. It provides information about the abduction of the </w:t>
      </w:r>
      <w:proofErr w:type="spellStart"/>
      <w:r>
        <w:rPr>
          <w:lang w:val="en-GB"/>
        </w:rPr>
        <w:t>Sutaković</w:t>
      </w:r>
      <w:proofErr w:type="spellEnd"/>
      <w:r>
        <w:rPr>
          <w:lang w:val="en-GB"/>
        </w:rPr>
        <w:t xml:space="preserve"> family, </w:t>
      </w:r>
      <w:proofErr w:type="spellStart"/>
      <w:r>
        <w:rPr>
          <w:lang w:val="en-GB"/>
        </w:rPr>
        <w:t>Milenko</w:t>
      </w:r>
      <w:proofErr w:type="spellEnd"/>
      <w:r>
        <w:rPr>
          <w:lang w:val="en-GB"/>
        </w:rPr>
        <w:t xml:space="preserve"> </w:t>
      </w:r>
      <w:proofErr w:type="spellStart"/>
      <w:r>
        <w:rPr>
          <w:lang w:val="en-GB"/>
        </w:rPr>
        <w:t>Kabaš</w:t>
      </w:r>
      <w:proofErr w:type="spellEnd"/>
      <w:r>
        <w:rPr>
          <w:lang w:val="en-GB"/>
        </w:rPr>
        <w:t xml:space="preserve">, Mr and Mrs </w:t>
      </w:r>
      <w:proofErr w:type="spellStart"/>
      <w:r>
        <w:rPr>
          <w:lang w:val="en-GB"/>
        </w:rPr>
        <w:t>Petrović</w:t>
      </w:r>
      <w:proofErr w:type="spellEnd"/>
      <w:r>
        <w:rPr>
          <w:lang w:val="en-GB"/>
        </w:rPr>
        <w:t xml:space="preserve"> and Mrs </w:t>
      </w:r>
      <w:proofErr w:type="spellStart"/>
      <w:r>
        <w:rPr>
          <w:lang w:val="en-GB"/>
        </w:rPr>
        <w:t>Dragica</w:t>
      </w:r>
      <w:proofErr w:type="spellEnd"/>
      <w:r>
        <w:rPr>
          <w:lang w:val="en-GB"/>
        </w:rPr>
        <w:t xml:space="preserve"> </w:t>
      </w:r>
      <w:proofErr w:type="spellStart"/>
      <w:r>
        <w:rPr>
          <w:lang w:val="en-GB"/>
        </w:rPr>
        <w:t>Petrićević</w:t>
      </w:r>
      <w:proofErr w:type="spellEnd"/>
      <w:r>
        <w:rPr>
          <w:lang w:val="en-GB"/>
        </w:rPr>
        <w:t xml:space="preserve">, who all lived in the same building in </w:t>
      </w:r>
      <w:proofErr w:type="spellStart"/>
      <w:r w:rsidRPr="00962637">
        <w:t>Gjakovë</w:t>
      </w:r>
      <w:proofErr w:type="spellEnd"/>
      <w:r w:rsidRPr="00962637">
        <w:rPr>
          <w:lang w:val="es-ES_tradnl"/>
        </w:rPr>
        <w:t>/</w:t>
      </w:r>
      <w:proofErr w:type="spellStart"/>
      <w:r w:rsidRPr="00962637">
        <w:t>Đakovica</w:t>
      </w:r>
      <w:proofErr w:type="spellEnd"/>
      <w:r>
        <w:t>. UNMIK Police was requested to investigate this matter and inform the MUP back on the results.</w:t>
      </w:r>
      <w:bookmarkEnd w:id="36"/>
    </w:p>
    <w:p w:rsidR="00ED60CA" w:rsidRPr="00ED60CA" w:rsidRDefault="00ED60CA" w:rsidP="00E025EE">
      <w:pPr>
        <w:pStyle w:val="ColorfulList-Accent11"/>
        <w:tabs>
          <w:tab w:val="num" w:pos="360"/>
        </w:tabs>
        <w:ind w:left="360"/>
        <w:rPr>
          <w:lang w:val="en-GB"/>
        </w:rPr>
      </w:pPr>
    </w:p>
    <w:p w:rsidR="008B479E" w:rsidRDefault="00ED60CA"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The next</w:t>
      </w:r>
      <w:r w:rsidR="00E137E7">
        <w:rPr>
          <w:lang w:val="en-GB"/>
        </w:rPr>
        <w:t xml:space="preserve"> document </w:t>
      </w:r>
      <w:r>
        <w:rPr>
          <w:lang w:val="en-GB"/>
        </w:rPr>
        <w:t xml:space="preserve">in the file </w:t>
      </w:r>
      <w:r w:rsidR="008B479E">
        <w:rPr>
          <w:lang w:val="en-GB"/>
        </w:rPr>
        <w:t>is an undated WCIU Case Report</w:t>
      </w:r>
      <w:r w:rsidR="008B479E" w:rsidRPr="008B479E">
        <w:rPr>
          <w:lang w:val="en-GB"/>
        </w:rPr>
        <w:t xml:space="preserve"> </w:t>
      </w:r>
      <w:r w:rsidR="008B479E">
        <w:rPr>
          <w:lang w:val="en-GB"/>
        </w:rPr>
        <w:t>in relation to the case no. 2003-00007; it indicates that the record was initiated on</w:t>
      </w:r>
      <w:r w:rsidR="00E137E7">
        <w:rPr>
          <w:lang w:val="en-GB"/>
        </w:rPr>
        <w:t xml:space="preserve"> 24 February 2003 and </w:t>
      </w:r>
      <w:r w:rsidR="008B479E">
        <w:rPr>
          <w:lang w:val="en-GB"/>
        </w:rPr>
        <w:t xml:space="preserve">updated </w:t>
      </w:r>
      <w:r w:rsidR="00E137E7">
        <w:rPr>
          <w:lang w:val="en-GB"/>
        </w:rPr>
        <w:t xml:space="preserve">for the last time </w:t>
      </w:r>
      <w:r w:rsidR="008B479E">
        <w:rPr>
          <w:lang w:val="en-GB"/>
        </w:rPr>
        <w:t>on 26 June 2003. It reflects the type of crime as “War Crime – Murder – Mass grave”.</w:t>
      </w:r>
      <w:r w:rsidR="008B479E" w:rsidRPr="00AD7BED">
        <w:rPr>
          <w:lang w:val="en-GB"/>
        </w:rPr>
        <w:t xml:space="preserve"> </w:t>
      </w:r>
      <w:r w:rsidR="008B479E">
        <w:rPr>
          <w:lang w:val="en-GB"/>
        </w:rPr>
        <w:t>It</w:t>
      </w:r>
      <w:r w:rsidR="008B479E" w:rsidRPr="00AD7BED">
        <w:rPr>
          <w:lang w:val="en-GB"/>
        </w:rPr>
        <w:t xml:space="preserve"> mentions </w:t>
      </w:r>
      <w:r w:rsidR="008B479E" w:rsidRPr="00ED60CA">
        <w:rPr>
          <w:i/>
          <w:lang w:val="en-GB"/>
        </w:rPr>
        <w:t xml:space="preserve">Mr and Mrs </w:t>
      </w:r>
      <w:proofErr w:type="spellStart"/>
      <w:r w:rsidR="008B479E" w:rsidRPr="00ED60CA">
        <w:rPr>
          <w:i/>
          <w:lang w:val="en-GB"/>
        </w:rPr>
        <w:t>Petrović</w:t>
      </w:r>
      <w:proofErr w:type="spellEnd"/>
      <w:r w:rsidR="008B479E" w:rsidRPr="00ED60CA">
        <w:rPr>
          <w:i/>
          <w:lang w:val="en-GB"/>
        </w:rPr>
        <w:t xml:space="preserve"> </w:t>
      </w:r>
      <w:r w:rsidR="008B479E" w:rsidRPr="00ED60CA">
        <w:rPr>
          <w:lang w:val="en-GB"/>
        </w:rPr>
        <w:t>as victims; the field “Status Notes” reads “Same as 2003-00005”. The</w:t>
      </w:r>
      <w:r w:rsidR="008B479E">
        <w:rPr>
          <w:lang w:val="en-GB"/>
        </w:rPr>
        <w:t xml:space="preserve"> “Summary” part of this report reads: </w:t>
      </w:r>
    </w:p>
    <w:p w:rsidR="00E025EE" w:rsidRDefault="00E025EE" w:rsidP="00E025EE">
      <w:pPr>
        <w:pStyle w:val="ListParagraph"/>
        <w:rPr>
          <w:lang w:val="en-GB"/>
        </w:rPr>
      </w:pPr>
    </w:p>
    <w:p w:rsidR="00B4192A" w:rsidRDefault="00B4192A" w:rsidP="00B4192A">
      <w:pPr>
        <w:pStyle w:val="ColorfulList-Accent11"/>
        <w:ind w:right="270"/>
        <w:jc w:val="both"/>
        <w:rPr>
          <w:lang w:val="en-GB"/>
        </w:rPr>
      </w:pPr>
      <w:r>
        <w:rPr>
          <w:lang w:val="en-GB"/>
        </w:rPr>
        <w:t>“Case opened following a report from the Ministry of Internal Affairs, Serbia.</w:t>
      </w:r>
    </w:p>
    <w:p w:rsidR="00B4192A" w:rsidRDefault="00B4192A" w:rsidP="00B4192A">
      <w:pPr>
        <w:pStyle w:val="ColorfulList-Accent11"/>
        <w:ind w:right="270"/>
        <w:jc w:val="both"/>
        <w:rPr>
          <w:lang w:val="en-GB"/>
        </w:rPr>
      </w:pPr>
      <w:r>
        <w:rPr>
          <w:lang w:val="en-GB"/>
        </w:rPr>
        <w:t xml:space="preserve">  On 10</w:t>
      </w:r>
      <w:r w:rsidRPr="00B4192A">
        <w:rPr>
          <w:vertAlign w:val="superscript"/>
          <w:lang w:val="en-GB"/>
        </w:rPr>
        <w:t>th</w:t>
      </w:r>
      <w:r>
        <w:rPr>
          <w:lang w:val="en-GB"/>
        </w:rPr>
        <w:t xml:space="preserve"> March 2003, the case was assigned to G.M.</w:t>
      </w:r>
    </w:p>
    <w:p w:rsidR="00B4192A" w:rsidRDefault="00B4192A" w:rsidP="00B4192A">
      <w:pPr>
        <w:pStyle w:val="ColorfulList-Accent11"/>
        <w:ind w:right="270"/>
        <w:jc w:val="both"/>
        <w:rPr>
          <w:lang w:val="en-GB"/>
        </w:rPr>
      </w:pPr>
      <w:r>
        <w:rPr>
          <w:lang w:val="en-GB"/>
        </w:rPr>
        <w:t xml:space="preserve">  On 26</w:t>
      </w:r>
      <w:r w:rsidRPr="00B4192A">
        <w:rPr>
          <w:vertAlign w:val="superscript"/>
          <w:lang w:val="en-GB"/>
        </w:rPr>
        <w:t>th</w:t>
      </w:r>
      <w:r>
        <w:rPr>
          <w:lang w:val="en-GB"/>
        </w:rPr>
        <w:t xml:space="preserve"> June 2003, the case was closed, no further action required, as this is the case No. 2003-00005.”</w:t>
      </w:r>
    </w:p>
    <w:p w:rsidR="008B479E" w:rsidRDefault="008B479E" w:rsidP="008B479E">
      <w:pPr>
        <w:pStyle w:val="ColorfulList-Accent11"/>
        <w:suppressAutoHyphens w:val="0"/>
        <w:ind w:left="360"/>
        <w:contextualSpacing/>
        <w:jc w:val="both"/>
        <w:rPr>
          <w:lang w:val="en-GB"/>
        </w:rPr>
      </w:pPr>
    </w:p>
    <w:p w:rsidR="008B479E" w:rsidRPr="00EE6125" w:rsidRDefault="008B479E" w:rsidP="00E025EE">
      <w:pPr>
        <w:pStyle w:val="ColorfulList-Accent11"/>
        <w:numPr>
          <w:ilvl w:val="0"/>
          <w:numId w:val="2"/>
        </w:numPr>
        <w:tabs>
          <w:tab w:val="clear" w:pos="810"/>
          <w:tab w:val="num" w:pos="360"/>
          <w:tab w:val="num" w:pos="540"/>
        </w:tabs>
        <w:suppressAutoHyphens w:val="0"/>
        <w:ind w:left="360"/>
        <w:contextualSpacing/>
        <w:jc w:val="both"/>
        <w:rPr>
          <w:color w:val="000000"/>
          <w:lang w:val="en-GB"/>
        </w:rPr>
      </w:pPr>
      <w:bookmarkStart w:id="37" w:name="_Ref404709360"/>
      <w:r w:rsidRPr="00EE6125">
        <w:rPr>
          <w:color w:val="000000"/>
          <w:lang w:val="en-GB"/>
        </w:rPr>
        <w:t>An MPU Ante-Mortem Investigation Report on the MPU case no. 00</w:t>
      </w:r>
      <w:r w:rsidR="0030386E" w:rsidRPr="00EE6125">
        <w:rPr>
          <w:color w:val="000000"/>
          <w:lang w:val="en-GB"/>
        </w:rPr>
        <w:t>67</w:t>
      </w:r>
      <w:r w:rsidRPr="00EE6125">
        <w:rPr>
          <w:color w:val="000000"/>
          <w:lang w:val="en-GB"/>
        </w:rPr>
        <w:t>/INV/0</w:t>
      </w:r>
      <w:r w:rsidR="0030386E" w:rsidRPr="00EE6125">
        <w:rPr>
          <w:color w:val="000000"/>
          <w:lang w:val="en-GB"/>
        </w:rPr>
        <w:t>5</w:t>
      </w:r>
      <w:r w:rsidRPr="00EE6125">
        <w:rPr>
          <w:color w:val="000000"/>
        </w:rPr>
        <w:t xml:space="preserve"> is </w:t>
      </w:r>
      <w:r w:rsidRPr="00EE6125">
        <w:rPr>
          <w:color w:val="000000"/>
          <w:lang w:val="en-GB"/>
        </w:rPr>
        <w:t>cross-referenced to a case no. 2000-00</w:t>
      </w:r>
      <w:r w:rsidR="0030386E" w:rsidRPr="00EE6125">
        <w:rPr>
          <w:color w:val="000000"/>
          <w:lang w:val="en-GB"/>
        </w:rPr>
        <w:t>0</w:t>
      </w:r>
      <w:r w:rsidRPr="00EE6125">
        <w:rPr>
          <w:color w:val="000000"/>
          <w:lang w:val="en-GB"/>
        </w:rPr>
        <w:t>31</w:t>
      </w:r>
      <w:r w:rsidR="0030386E" w:rsidRPr="00EE6125">
        <w:rPr>
          <w:color w:val="000000"/>
          <w:lang w:val="en-GB"/>
        </w:rPr>
        <w:t>0</w:t>
      </w:r>
      <w:r w:rsidRPr="00EE6125">
        <w:rPr>
          <w:color w:val="000000"/>
          <w:lang w:val="en-GB"/>
        </w:rPr>
        <w:t xml:space="preserve">. This report was initiated on </w:t>
      </w:r>
      <w:r w:rsidR="0030386E" w:rsidRPr="00EE6125">
        <w:rPr>
          <w:color w:val="000000"/>
          <w:lang w:val="en-GB"/>
        </w:rPr>
        <w:t xml:space="preserve">6 </w:t>
      </w:r>
      <w:r w:rsidRPr="00EE6125">
        <w:rPr>
          <w:color w:val="000000"/>
          <w:lang w:val="en-GB"/>
        </w:rPr>
        <w:t>April 200</w:t>
      </w:r>
      <w:r w:rsidR="0030386E" w:rsidRPr="00EE6125">
        <w:rPr>
          <w:color w:val="000000"/>
          <w:lang w:val="en-GB"/>
        </w:rPr>
        <w:t>4</w:t>
      </w:r>
      <w:r w:rsidRPr="00EE6125">
        <w:rPr>
          <w:color w:val="000000"/>
          <w:lang w:val="en-GB"/>
        </w:rPr>
        <w:t xml:space="preserve"> and completed on the same day. On the front page</w:t>
      </w:r>
      <w:r w:rsidR="0030386E" w:rsidRPr="00EE6125">
        <w:rPr>
          <w:color w:val="000000"/>
          <w:lang w:val="en-GB"/>
        </w:rPr>
        <w:t xml:space="preserve"> of the report</w:t>
      </w:r>
      <w:r w:rsidR="00E137E7">
        <w:rPr>
          <w:color w:val="000000"/>
          <w:lang w:val="en-GB"/>
        </w:rPr>
        <w:t>,</w:t>
      </w:r>
      <w:r w:rsidR="0030386E" w:rsidRPr="00EE6125">
        <w:rPr>
          <w:color w:val="000000"/>
          <w:lang w:val="en-GB"/>
        </w:rPr>
        <w:t xml:space="preserve"> an UNMIK Police liaison officer in </w:t>
      </w:r>
      <w:proofErr w:type="gramStart"/>
      <w:r w:rsidR="0030386E" w:rsidRPr="00EE6125">
        <w:rPr>
          <w:color w:val="000000"/>
          <w:lang w:val="en-GB"/>
        </w:rPr>
        <w:t>Belgrade</w:t>
      </w:r>
      <w:r w:rsidR="00E137E7">
        <w:rPr>
          <w:color w:val="000000"/>
          <w:lang w:val="en-GB"/>
        </w:rPr>
        <w:t>,</w:t>
      </w:r>
      <w:proofErr w:type="gramEnd"/>
      <w:r w:rsidR="0030386E" w:rsidRPr="00EE6125">
        <w:rPr>
          <w:color w:val="000000"/>
          <w:lang w:val="en-GB"/>
        </w:rPr>
        <w:t xml:space="preserve"> is mentioned as a witness. The field “Background of the case” reads: “The couple was arrested and kidnapped by men wearing </w:t>
      </w:r>
      <w:r w:rsidR="00625079" w:rsidRPr="00EE6125">
        <w:rPr>
          <w:color w:val="000000"/>
          <w:lang w:val="en-GB"/>
        </w:rPr>
        <w:t>E</w:t>
      </w:r>
      <w:r w:rsidR="0030386E" w:rsidRPr="00EE6125">
        <w:rPr>
          <w:color w:val="000000"/>
          <w:lang w:val="en-GB"/>
        </w:rPr>
        <w:t>CK-uniform on 7</w:t>
      </w:r>
      <w:r w:rsidR="0030386E" w:rsidRPr="00EE6125">
        <w:rPr>
          <w:color w:val="000000"/>
          <w:vertAlign w:val="superscript"/>
          <w:lang w:val="en-GB"/>
        </w:rPr>
        <w:t>th</w:t>
      </w:r>
      <w:r w:rsidR="0030386E" w:rsidRPr="00EE6125">
        <w:rPr>
          <w:color w:val="000000"/>
          <w:lang w:val="en-GB"/>
        </w:rPr>
        <w:t xml:space="preserve"> august 1999. See enclosed report under MPU-number.” The field “Further Investigation” states the following: “K.N., MPU Belgrade informed that the family members still have not had any news to their destiny.”</w:t>
      </w:r>
      <w:bookmarkEnd w:id="37"/>
    </w:p>
    <w:p w:rsidR="008B479E" w:rsidRPr="00EE6125" w:rsidRDefault="008B479E" w:rsidP="008B479E">
      <w:pPr>
        <w:pStyle w:val="ColorfulList-Accent11"/>
        <w:rPr>
          <w:color w:val="000000"/>
          <w:lang w:val="en-GB"/>
        </w:rPr>
      </w:pPr>
    </w:p>
    <w:p w:rsidR="00ED60CA" w:rsidRPr="00EE6125" w:rsidRDefault="008B479E" w:rsidP="00E025EE">
      <w:pPr>
        <w:pStyle w:val="ColorfulList-Accent11"/>
        <w:numPr>
          <w:ilvl w:val="0"/>
          <w:numId w:val="2"/>
        </w:numPr>
        <w:tabs>
          <w:tab w:val="clear" w:pos="810"/>
          <w:tab w:val="num" w:pos="360"/>
          <w:tab w:val="num" w:pos="540"/>
        </w:tabs>
        <w:suppressAutoHyphens w:val="0"/>
        <w:ind w:left="360"/>
        <w:contextualSpacing/>
        <w:jc w:val="both"/>
        <w:rPr>
          <w:color w:val="000000"/>
          <w:lang w:val="en-GB"/>
        </w:rPr>
      </w:pPr>
      <w:bookmarkStart w:id="38" w:name="_Ref404697530"/>
      <w:r w:rsidRPr="00EE6125">
        <w:rPr>
          <w:color w:val="000000"/>
          <w:lang w:val="en-GB"/>
        </w:rPr>
        <w:t xml:space="preserve">At the </w:t>
      </w:r>
      <w:r w:rsidR="000F1AC8" w:rsidRPr="00EE6125">
        <w:rPr>
          <w:color w:val="000000"/>
          <w:lang w:val="en-GB"/>
        </w:rPr>
        <w:t xml:space="preserve">end </w:t>
      </w:r>
      <w:r w:rsidRPr="00EE6125">
        <w:rPr>
          <w:color w:val="000000"/>
          <w:lang w:val="en-GB"/>
        </w:rPr>
        <w:t xml:space="preserve">of this report, the investigator </w:t>
      </w:r>
      <w:r w:rsidR="000F1AC8" w:rsidRPr="00EE6125">
        <w:rPr>
          <w:color w:val="000000"/>
          <w:lang w:val="en-GB"/>
        </w:rPr>
        <w:t xml:space="preserve">concludes that </w:t>
      </w:r>
      <w:r w:rsidRPr="00EE6125">
        <w:rPr>
          <w:color w:val="000000"/>
          <w:lang w:val="en-GB"/>
        </w:rPr>
        <w:t>“</w:t>
      </w:r>
      <w:r w:rsidR="000F1AC8" w:rsidRPr="00EE6125">
        <w:rPr>
          <w:color w:val="000000"/>
          <w:lang w:val="en-GB"/>
        </w:rPr>
        <w:t>As t</w:t>
      </w:r>
      <w:r w:rsidRPr="00EE6125">
        <w:rPr>
          <w:color w:val="000000"/>
          <w:lang w:val="en-GB"/>
        </w:rPr>
        <w:t xml:space="preserve">here is no </w:t>
      </w:r>
      <w:r w:rsidR="000F1AC8" w:rsidRPr="00EE6125">
        <w:rPr>
          <w:color w:val="000000"/>
          <w:lang w:val="en-GB"/>
        </w:rPr>
        <w:t xml:space="preserve">further </w:t>
      </w:r>
      <w:r w:rsidRPr="00EE6125">
        <w:rPr>
          <w:color w:val="000000"/>
          <w:lang w:val="en-GB"/>
        </w:rPr>
        <w:t>information</w:t>
      </w:r>
      <w:r w:rsidR="000F1AC8" w:rsidRPr="00EE6125">
        <w:rPr>
          <w:color w:val="000000"/>
          <w:lang w:val="en-GB"/>
        </w:rPr>
        <w:t xml:space="preserve"> with regards to the fate of the MP no further investigation is presently possible however the file </w:t>
      </w:r>
      <w:r w:rsidRPr="00EE6125">
        <w:rPr>
          <w:color w:val="000000"/>
          <w:lang w:val="en-GB"/>
        </w:rPr>
        <w:t>should remain open in</w:t>
      </w:r>
      <w:r w:rsidR="000F1AC8" w:rsidRPr="00EE6125">
        <w:rPr>
          <w:color w:val="000000"/>
          <w:lang w:val="en-GB"/>
        </w:rPr>
        <w:t xml:space="preserve"> case further information would appear.”</w:t>
      </w:r>
      <w:r w:rsidRPr="00EE6125">
        <w:rPr>
          <w:color w:val="000000"/>
          <w:lang w:val="en-GB"/>
        </w:rPr>
        <w:t xml:space="preserve"> The </w:t>
      </w:r>
      <w:r w:rsidR="000F1AC8" w:rsidRPr="00EE6125">
        <w:rPr>
          <w:color w:val="000000"/>
          <w:lang w:val="en-GB"/>
        </w:rPr>
        <w:t xml:space="preserve">case’s </w:t>
      </w:r>
      <w:r w:rsidRPr="00EE6125">
        <w:rPr>
          <w:color w:val="000000"/>
          <w:lang w:val="en-GB"/>
        </w:rPr>
        <w:t>status is “</w:t>
      </w:r>
      <w:r w:rsidR="000F1AC8" w:rsidRPr="00EE6125">
        <w:rPr>
          <w:color w:val="000000"/>
          <w:lang w:val="en-GB"/>
        </w:rPr>
        <w:t>Case Pending for further information</w:t>
      </w:r>
      <w:r w:rsidRPr="00EE6125">
        <w:rPr>
          <w:color w:val="000000"/>
          <w:lang w:val="en-GB"/>
        </w:rPr>
        <w:t>”.</w:t>
      </w:r>
      <w:bookmarkEnd w:id="38"/>
    </w:p>
    <w:p w:rsidR="00653994" w:rsidRPr="00EE6125" w:rsidRDefault="00653994" w:rsidP="00653994">
      <w:pPr>
        <w:pStyle w:val="ColorfulList-Accent11"/>
        <w:rPr>
          <w:color w:val="000000"/>
          <w:lang w:val="en-GB"/>
        </w:rPr>
      </w:pPr>
    </w:p>
    <w:p w:rsidR="00E366DC" w:rsidRDefault="00E366DC" w:rsidP="00E025EE">
      <w:pPr>
        <w:pStyle w:val="ColorfulList-Accent11"/>
        <w:numPr>
          <w:ilvl w:val="0"/>
          <w:numId w:val="2"/>
        </w:numPr>
        <w:tabs>
          <w:tab w:val="clear" w:pos="810"/>
          <w:tab w:val="num" w:pos="360"/>
          <w:tab w:val="num" w:pos="540"/>
        </w:tabs>
        <w:suppressAutoHyphens w:val="0"/>
        <w:ind w:left="360"/>
        <w:contextualSpacing/>
        <w:jc w:val="both"/>
        <w:rPr>
          <w:lang w:val="en-GB"/>
        </w:rPr>
      </w:pPr>
      <w:bookmarkStart w:id="39" w:name="_Ref404764490"/>
      <w:r>
        <w:rPr>
          <w:lang w:val="en-GB"/>
        </w:rPr>
        <w:t xml:space="preserve">The file further contains a Ruling to Dismiss the Criminal Report, dated 22 July 2009, no. PPS.197/09, by </w:t>
      </w:r>
      <w:r w:rsidRPr="00EE6125">
        <w:rPr>
          <w:color w:val="000000"/>
          <w:lang w:val="en-GB"/>
        </w:rPr>
        <w:t>which</w:t>
      </w:r>
      <w:r>
        <w:rPr>
          <w:lang w:val="en-GB"/>
        </w:rPr>
        <w:t xml:space="preserve"> an International Prosecutor of the </w:t>
      </w:r>
      <w:r w:rsidR="00314EAB">
        <w:rPr>
          <w:lang w:val="en-GB"/>
        </w:rPr>
        <w:t>Kosovo</w:t>
      </w:r>
      <w:r w:rsidR="00625079">
        <w:rPr>
          <w:lang w:val="en-GB"/>
        </w:rPr>
        <w:t>’s</w:t>
      </w:r>
      <w:r w:rsidR="00314EAB">
        <w:rPr>
          <w:lang w:val="en-GB"/>
        </w:rPr>
        <w:t xml:space="preserve"> Special Prosecution Office (</w:t>
      </w:r>
      <w:r>
        <w:rPr>
          <w:lang w:val="en-GB"/>
        </w:rPr>
        <w:t>SP</w:t>
      </w:r>
      <w:r w:rsidR="00625079">
        <w:rPr>
          <w:lang w:val="en-GB"/>
        </w:rPr>
        <w:t>RK</w:t>
      </w:r>
      <w:r w:rsidR="00314EAB">
        <w:rPr>
          <w:lang w:val="en-GB"/>
        </w:rPr>
        <w:t>)</w:t>
      </w:r>
      <w:r>
        <w:rPr>
          <w:lang w:val="en-GB"/>
        </w:rPr>
        <w:t xml:space="preserve"> dismissed the police criminal report </w:t>
      </w:r>
      <w:r w:rsidR="00314EAB">
        <w:rPr>
          <w:lang w:val="en-GB"/>
        </w:rPr>
        <w:t>of</w:t>
      </w:r>
      <w:r>
        <w:rPr>
          <w:lang w:val="en-GB"/>
        </w:rPr>
        <w:t xml:space="preserve"> 24 February 2003 </w:t>
      </w:r>
      <w:r w:rsidR="00625079">
        <w:rPr>
          <w:lang w:val="en-GB"/>
        </w:rPr>
        <w:t>o</w:t>
      </w:r>
      <w:r>
        <w:rPr>
          <w:lang w:val="en-GB"/>
        </w:rPr>
        <w:t xml:space="preserve">n the </w:t>
      </w:r>
      <w:r w:rsidRPr="00E025EE">
        <w:rPr>
          <w:color w:val="000000"/>
          <w:lang w:val="en-GB"/>
        </w:rPr>
        <w:t>case</w:t>
      </w:r>
      <w:r>
        <w:rPr>
          <w:lang w:val="en-GB"/>
        </w:rPr>
        <w:t xml:space="preserve"> no 2003-00006.</w:t>
      </w:r>
      <w:r w:rsidRPr="00653994">
        <w:rPr>
          <w:lang w:val="en-GB"/>
        </w:rPr>
        <w:t xml:space="preserve"> </w:t>
      </w:r>
      <w:r>
        <w:rPr>
          <w:lang w:val="en-GB"/>
        </w:rPr>
        <w:t>The said police criminal report is not in the file.</w:t>
      </w:r>
      <w:r w:rsidR="0073541B" w:rsidRPr="0073541B">
        <w:rPr>
          <w:lang w:val="en-GB"/>
        </w:rPr>
        <w:t xml:space="preserve"> </w:t>
      </w:r>
      <w:r w:rsidR="0073541B">
        <w:rPr>
          <w:lang w:val="en-GB"/>
        </w:rPr>
        <w:t>The Ruling itself is not s</w:t>
      </w:r>
      <w:r w:rsidR="0073541B" w:rsidRPr="0073541B">
        <w:rPr>
          <w:lang w:val="en-GB"/>
        </w:rPr>
        <w:t>tamp</w:t>
      </w:r>
      <w:r w:rsidR="0073541B">
        <w:rPr>
          <w:lang w:val="en-GB"/>
        </w:rPr>
        <w:t>ed</w:t>
      </w:r>
      <w:r w:rsidR="0073541B" w:rsidRPr="0073541B">
        <w:rPr>
          <w:lang w:val="en-GB"/>
        </w:rPr>
        <w:t xml:space="preserve"> or </w:t>
      </w:r>
      <w:r w:rsidR="0073541B">
        <w:rPr>
          <w:lang w:val="en-GB"/>
        </w:rPr>
        <w:t xml:space="preserve">signed by the </w:t>
      </w:r>
      <w:r w:rsidR="0073541B" w:rsidRPr="0073541B">
        <w:rPr>
          <w:lang w:val="en-GB"/>
        </w:rPr>
        <w:t>prosecutor.</w:t>
      </w:r>
      <w:bookmarkEnd w:id="39"/>
    </w:p>
    <w:p w:rsidR="00E366DC" w:rsidRDefault="00E366DC" w:rsidP="00E366DC">
      <w:pPr>
        <w:pStyle w:val="ColorfulList-Accent11"/>
        <w:suppressAutoHyphens w:val="0"/>
        <w:ind w:left="450"/>
        <w:contextualSpacing/>
        <w:jc w:val="both"/>
        <w:rPr>
          <w:lang w:val="en-GB"/>
        </w:rPr>
      </w:pPr>
    </w:p>
    <w:p w:rsidR="00E366DC" w:rsidRDefault="00E366DC" w:rsidP="00E025EE">
      <w:pPr>
        <w:pStyle w:val="ColorfulList-Accent11"/>
        <w:numPr>
          <w:ilvl w:val="0"/>
          <w:numId w:val="2"/>
        </w:numPr>
        <w:tabs>
          <w:tab w:val="clear" w:pos="810"/>
          <w:tab w:val="num" w:pos="360"/>
          <w:tab w:val="num" w:pos="540"/>
        </w:tabs>
        <w:suppressAutoHyphens w:val="0"/>
        <w:ind w:left="360"/>
        <w:contextualSpacing/>
        <w:jc w:val="both"/>
        <w:rPr>
          <w:lang w:val="en-GB"/>
        </w:rPr>
      </w:pPr>
      <w:bookmarkStart w:id="40" w:name="_Ref404765499"/>
      <w:r w:rsidRPr="00E025EE">
        <w:rPr>
          <w:color w:val="000000"/>
          <w:lang w:val="en-GB"/>
        </w:rPr>
        <w:t>The</w:t>
      </w:r>
      <w:r>
        <w:rPr>
          <w:lang w:val="en-GB"/>
        </w:rPr>
        <w:t xml:space="preserve"> three </w:t>
      </w:r>
      <w:r w:rsidR="00E67BB0">
        <w:rPr>
          <w:lang w:val="en-GB"/>
        </w:rPr>
        <w:t xml:space="preserve">persons cited </w:t>
      </w:r>
      <w:r>
        <w:rPr>
          <w:lang w:val="en-GB"/>
        </w:rPr>
        <w:t xml:space="preserve">in </w:t>
      </w:r>
      <w:r w:rsidR="0073541B">
        <w:rPr>
          <w:lang w:val="en-GB"/>
        </w:rPr>
        <w:t xml:space="preserve">the </w:t>
      </w:r>
      <w:r>
        <w:rPr>
          <w:lang w:val="en-GB"/>
        </w:rPr>
        <w:t xml:space="preserve">Ruling, </w:t>
      </w:r>
      <w:r w:rsidR="008D52F2">
        <w:rPr>
          <w:lang w:val="en-GB"/>
        </w:rPr>
        <w:t>I</w:t>
      </w:r>
      <w:r>
        <w:rPr>
          <w:lang w:val="en-GB"/>
        </w:rPr>
        <w:t>.D., A.S. and F.D., were suspected of:</w:t>
      </w:r>
      <w:bookmarkEnd w:id="40"/>
    </w:p>
    <w:p w:rsidR="00894C0F" w:rsidRDefault="00894C0F" w:rsidP="00E366DC">
      <w:pPr>
        <w:ind w:left="810"/>
        <w:contextualSpacing/>
        <w:jc w:val="both"/>
        <w:rPr>
          <w:lang w:val="en-GB"/>
        </w:rPr>
      </w:pPr>
    </w:p>
    <w:p w:rsidR="00E366DC" w:rsidRDefault="00E366DC" w:rsidP="006A3DDA">
      <w:pPr>
        <w:ind w:left="540"/>
        <w:contextualSpacing/>
        <w:jc w:val="both"/>
        <w:rPr>
          <w:lang w:val="en-GB"/>
        </w:rPr>
      </w:pPr>
      <w:r>
        <w:rPr>
          <w:lang w:val="en-GB"/>
        </w:rPr>
        <w:t xml:space="preserve">“- </w:t>
      </w:r>
      <w:r w:rsidRPr="001400F6">
        <w:rPr>
          <w:lang w:val="en-GB"/>
        </w:rPr>
        <w:t xml:space="preserve">On June 1999, in </w:t>
      </w:r>
      <w:proofErr w:type="spellStart"/>
      <w:r w:rsidRPr="001400F6">
        <w:rPr>
          <w:lang w:val="en-GB"/>
        </w:rPr>
        <w:t>Djakovica</w:t>
      </w:r>
      <w:proofErr w:type="spellEnd"/>
      <w:r w:rsidRPr="001400F6">
        <w:rPr>
          <w:lang w:val="en-GB"/>
        </w:rPr>
        <w:t xml:space="preserve">, </w:t>
      </w:r>
      <w:proofErr w:type="spellStart"/>
      <w:r>
        <w:rPr>
          <w:lang w:val="en-GB"/>
        </w:rPr>
        <w:t>Peja</w:t>
      </w:r>
      <w:proofErr w:type="spellEnd"/>
      <w:r>
        <w:rPr>
          <w:lang w:val="en-GB"/>
        </w:rPr>
        <w:t>/</w:t>
      </w:r>
      <w:proofErr w:type="spellStart"/>
      <w:r>
        <w:rPr>
          <w:lang w:val="en-GB"/>
        </w:rPr>
        <w:t>Pec</w:t>
      </w:r>
      <w:proofErr w:type="spellEnd"/>
      <w:r>
        <w:rPr>
          <w:lang w:val="en-GB"/>
        </w:rPr>
        <w:t>, W</w:t>
      </w:r>
      <w:r w:rsidRPr="001400F6">
        <w:rPr>
          <w:lang w:val="en-GB"/>
        </w:rPr>
        <w:t xml:space="preserve">ar crime against </w:t>
      </w:r>
      <w:r>
        <w:rPr>
          <w:lang w:val="en-GB"/>
        </w:rPr>
        <w:t xml:space="preserve">the </w:t>
      </w:r>
      <w:r w:rsidRPr="001400F6">
        <w:rPr>
          <w:lang w:val="en-GB"/>
        </w:rPr>
        <w:t xml:space="preserve">civilian population in </w:t>
      </w:r>
    </w:p>
    <w:p w:rsidR="00E366DC" w:rsidRDefault="00E366DC" w:rsidP="006A3DDA">
      <w:pPr>
        <w:ind w:left="540"/>
        <w:contextualSpacing/>
        <w:jc w:val="both"/>
        <w:rPr>
          <w:lang w:val="en-GB"/>
        </w:rPr>
      </w:pPr>
      <w:r>
        <w:rPr>
          <w:lang w:val="en-GB"/>
        </w:rPr>
        <w:t xml:space="preserve">    </w:t>
      </w:r>
      <w:proofErr w:type="gramStart"/>
      <w:r w:rsidRPr="001400F6">
        <w:rPr>
          <w:lang w:val="en-GB"/>
        </w:rPr>
        <w:t>violation</w:t>
      </w:r>
      <w:proofErr w:type="gramEnd"/>
      <w:r w:rsidRPr="001400F6">
        <w:rPr>
          <w:lang w:val="en-GB"/>
        </w:rPr>
        <w:t xml:space="preserve"> of article 142 CCSFRY, 120-121</w:t>
      </w:r>
      <w:r w:rsidR="00F04A92">
        <w:rPr>
          <w:lang w:val="en-GB"/>
        </w:rPr>
        <w:t xml:space="preserve"> </w:t>
      </w:r>
      <w:r w:rsidRPr="001400F6">
        <w:rPr>
          <w:lang w:val="en-GB"/>
        </w:rPr>
        <w:t>PCCK</w:t>
      </w:r>
      <w:r>
        <w:rPr>
          <w:lang w:val="en-GB"/>
        </w:rPr>
        <w:t>,</w:t>
      </w:r>
      <w:r w:rsidRPr="001400F6">
        <w:rPr>
          <w:lang w:val="en-GB"/>
        </w:rPr>
        <w:t xml:space="preserve"> punishable up to </w:t>
      </w:r>
      <w:r>
        <w:rPr>
          <w:lang w:val="en-GB"/>
        </w:rPr>
        <w:t>5</w:t>
      </w:r>
      <w:r w:rsidRPr="001400F6">
        <w:rPr>
          <w:lang w:val="en-GB"/>
        </w:rPr>
        <w:t xml:space="preserve"> years </w:t>
      </w:r>
      <w:r>
        <w:rPr>
          <w:lang w:val="en-GB"/>
        </w:rPr>
        <w:t xml:space="preserve">   </w:t>
      </w:r>
    </w:p>
    <w:p w:rsidR="00E366DC" w:rsidRDefault="00E366DC" w:rsidP="006A3DDA">
      <w:pPr>
        <w:ind w:left="540"/>
        <w:contextualSpacing/>
        <w:jc w:val="both"/>
        <w:rPr>
          <w:lang w:val="en-GB"/>
        </w:rPr>
      </w:pPr>
      <w:r>
        <w:rPr>
          <w:lang w:val="en-GB"/>
        </w:rPr>
        <w:t xml:space="preserve">    </w:t>
      </w:r>
      <w:proofErr w:type="gramStart"/>
      <w:r w:rsidRPr="001400F6">
        <w:rPr>
          <w:lang w:val="en-GB"/>
        </w:rPr>
        <w:t>imprisonment</w:t>
      </w:r>
      <w:proofErr w:type="gramEnd"/>
      <w:r>
        <w:rPr>
          <w:rStyle w:val="FootnoteReference"/>
          <w:lang w:val="en-GB"/>
        </w:rPr>
        <w:footnoteReference w:id="16"/>
      </w:r>
      <w:r w:rsidRPr="001400F6">
        <w:rPr>
          <w:lang w:val="en-GB"/>
        </w:rPr>
        <w:t>,</w:t>
      </w:r>
    </w:p>
    <w:p w:rsidR="00E366DC" w:rsidRDefault="00E366DC" w:rsidP="006A3DDA">
      <w:pPr>
        <w:ind w:left="540"/>
        <w:contextualSpacing/>
        <w:jc w:val="both"/>
        <w:rPr>
          <w:lang w:val="en-GB"/>
        </w:rPr>
      </w:pPr>
      <w:r>
        <w:rPr>
          <w:lang w:val="en-GB"/>
        </w:rPr>
        <w:lastRenderedPageBreak/>
        <w:t xml:space="preserve"> - Kidnapping in violation of article 64</w:t>
      </w:r>
      <w:r w:rsidRPr="001400F6">
        <w:rPr>
          <w:lang w:val="en-GB"/>
        </w:rPr>
        <w:t xml:space="preserve"> CL</w:t>
      </w:r>
      <w:r>
        <w:rPr>
          <w:lang w:val="en-GB"/>
        </w:rPr>
        <w:t>S</w:t>
      </w:r>
      <w:r w:rsidR="0073541B">
        <w:rPr>
          <w:rStyle w:val="FootnoteReference"/>
          <w:lang w:val="en-GB"/>
        </w:rPr>
        <w:footnoteReference w:id="17"/>
      </w:r>
      <w:r w:rsidR="0073541B">
        <w:rPr>
          <w:lang w:val="en-GB"/>
        </w:rPr>
        <w:t xml:space="preserve">, </w:t>
      </w:r>
      <w:r w:rsidRPr="001400F6">
        <w:rPr>
          <w:lang w:val="en-GB"/>
        </w:rPr>
        <w:t>1</w:t>
      </w:r>
      <w:r>
        <w:rPr>
          <w:lang w:val="en-GB"/>
        </w:rPr>
        <w:t>59</w:t>
      </w:r>
      <w:r w:rsidRPr="001400F6">
        <w:rPr>
          <w:lang w:val="en-GB"/>
        </w:rPr>
        <w:t xml:space="preserve"> PCCK</w:t>
      </w:r>
      <w:r>
        <w:rPr>
          <w:lang w:val="en-GB"/>
        </w:rPr>
        <w:t xml:space="preserve"> </w:t>
      </w:r>
      <w:r w:rsidRPr="001400F6">
        <w:rPr>
          <w:lang w:val="en-GB"/>
        </w:rPr>
        <w:t xml:space="preserve">punishable </w:t>
      </w:r>
      <w:r>
        <w:rPr>
          <w:lang w:val="en-GB"/>
        </w:rPr>
        <w:t>6 months up to</w:t>
      </w:r>
    </w:p>
    <w:p w:rsidR="00E366DC" w:rsidRPr="001400F6" w:rsidRDefault="00E366DC" w:rsidP="006A3DDA">
      <w:pPr>
        <w:ind w:left="540"/>
        <w:contextualSpacing/>
        <w:jc w:val="both"/>
        <w:rPr>
          <w:lang w:val="en-GB"/>
        </w:rPr>
      </w:pPr>
      <w:r>
        <w:rPr>
          <w:lang w:val="en-GB"/>
        </w:rPr>
        <w:t xml:space="preserve">   </w:t>
      </w:r>
      <w:r w:rsidRPr="001400F6">
        <w:rPr>
          <w:lang w:val="en-GB"/>
        </w:rPr>
        <w:t xml:space="preserve">5 years </w:t>
      </w:r>
      <w:r>
        <w:rPr>
          <w:lang w:val="en-GB"/>
        </w:rPr>
        <w:t xml:space="preserve">of </w:t>
      </w:r>
      <w:r w:rsidRPr="001400F6">
        <w:rPr>
          <w:lang w:val="en-GB"/>
        </w:rPr>
        <w:t>imprisonment.</w:t>
      </w:r>
    </w:p>
    <w:p w:rsidR="00E366DC" w:rsidRDefault="00E366DC" w:rsidP="00E366DC">
      <w:pPr>
        <w:pStyle w:val="ColorfulList-Accent11"/>
        <w:rPr>
          <w:lang w:val="en-GB"/>
        </w:rPr>
      </w:pPr>
    </w:p>
    <w:p w:rsidR="00E366DC" w:rsidRDefault="00E366DC"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 xml:space="preserve">The Ruling </w:t>
      </w:r>
      <w:r w:rsidR="0073541B">
        <w:rPr>
          <w:lang w:val="en-GB"/>
        </w:rPr>
        <w:t xml:space="preserve">provides </w:t>
      </w:r>
      <w:r w:rsidR="00E137E7">
        <w:rPr>
          <w:lang w:val="en-GB"/>
        </w:rPr>
        <w:t xml:space="preserve">a </w:t>
      </w:r>
      <w:r w:rsidR="0073541B">
        <w:rPr>
          <w:lang w:val="en-GB"/>
        </w:rPr>
        <w:t xml:space="preserve">brief description of the abduction of Mr and Mrs </w:t>
      </w:r>
      <w:proofErr w:type="spellStart"/>
      <w:r w:rsidR="0073541B">
        <w:rPr>
          <w:lang w:val="en-GB"/>
        </w:rPr>
        <w:t>Petrović</w:t>
      </w:r>
      <w:proofErr w:type="spellEnd"/>
      <w:r w:rsidR="0073541B">
        <w:rPr>
          <w:lang w:val="en-GB"/>
        </w:rPr>
        <w:t xml:space="preserve">, </w:t>
      </w:r>
      <w:r w:rsidR="0073541B" w:rsidRPr="00E025EE">
        <w:rPr>
          <w:color w:val="000000"/>
          <w:lang w:val="en-GB"/>
        </w:rPr>
        <w:t>referring</w:t>
      </w:r>
      <w:r w:rsidR="0073541B">
        <w:rPr>
          <w:lang w:val="en-GB"/>
        </w:rPr>
        <w:t xml:space="preserve"> </w:t>
      </w:r>
      <w:r>
        <w:rPr>
          <w:lang w:val="en-GB"/>
        </w:rPr>
        <w:t xml:space="preserve">to the above-mentioned letter from </w:t>
      </w:r>
      <w:r w:rsidR="00E137E7">
        <w:rPr>
          <w:lang w:val="en-GB"/>
        </w:rPr>
        <w:t xml:space="preserve">the </w:t>
      </w:r>
      <w:r>
        <w:rPr>
          <w:lang w:val="en-GB"/>
        </w:rPr>
        <w:t>Serbian MUP to UNMIK Police, dated 30 January 2003</w:t>
      </w:r>
      <w:r w:rsidR="0073541B">
        <w:rPr>
          <w:lang w:val="en-GB"/>
        </w:rPr>
        <w:t xml:space="preserve"> (</w:t>
      </w:r>
      <w:r w:rsidR="0073541B" w:rsidRPr="00C5394C">
        <w:rPr>
          <w:lang w:val="en-GB"/>
        </w:rPr>
        <w:t xml:space="preserve">see § </w:t>
      </w:r>
      <w:r w:rsidR="0037719A">
        <w:fldChar w:fldCharType="begin"/>
      </w:r>
      <w:r w:rsidR="0037719A">
        <w:instrText xml:space="preserve"> REF _Ref404264200 \r \h  \* MERGEFORMAT </w:instrText>
      </w:r>
      <w:r w:rsidR="0037719A">
        <w:fldChar w:fldCharType="separate"/>
      </w:r>
      <w:r w:rsidR="00A35759" w:rsidRPr="00A35759">
        <w:rPr>
          <w:lang w:val="en-GB"/>
        </w:rPr>
        <w:t>91</w:t>
      </w:r>
      <w:r w:rsidR="0037719A">
        <w:fldChar w:fldCharType="end"/>
      </w:r>
      <w:r w:rsidR="0073541B" w:rsidRPr="00C5394C">
        <w:rPr>
          <w:lang w:val="en-GB"/>
        </w:rPr>
        <w:t>). The Ruling</w:t>
      </w:r>
      <w:r w:rsidR="0073541B">
        <w:rPr>
          <w:lang w:val="en-GB"/>
        </w:rPr>
        <w:t xml:space="preserve"> </w:t>
      </w:r>
      <w:r>
        <w:rPr>
          <w:lang w:val="en-GB"/>
        </w:rPr>
        <w:t xml:space="preserve">names the Co-Chief of the Subcommittee of Police Cooperation within </w:t>
      </w:r>
      <w:r w:rsidR="00E137E7">
        <w:rPr>
          <w:lang w:val="en-GB"/>
        </w:rPr>
        <w:t xml:space="preserve">the </w:t>
      </w:r>
      <w:r>
        <w:rPr>
          <w:lang w:val="en-GB"/>
        </w:rPr>
        <w:t>Serbian MUP</w:t>
      </w:r>
      <w:r w:rsidR="0073541B">
        <w:rPr>
          <w:lang w:val="en-GB"/>
        </w:rPr>
        <w:t xml:space="preserve"> who signed that letter, the witness in this case.</w:t>
      </w:r>
    </w:p>
    <w:p w:rsidR="00E366DC" w:rsidRPr="00B70E2D" w:rsidRDefault="00E366DC" w:rsidP="00E366DC">
      <w:pPr>
        <w:pStyle w:val="ColorfulList-Accent11"/>
        <w:suppressAutoHyphens w:val="0"/>
        <w:ind w:left="360"/>
        <w:contextualSpacing/>
        <w:jc w:val="both"/>
        <w:rPr>
          <w:lang w:val="en-GB"/>
        </w:rPr>
      </w:pPr>
    </w:p>
    <w:p w:rsidR="00E366DC" w:rsidRPr="00CD25DA" w:rsidRDefault="00E366DC" w:rsidP="00E025EE">
      <w:pPr>
        <w:pStyle w:val="ColorfulList-Accent11"/>
        <w:numPr>
          <w:ilvl w:val="0"/>
          <w:numId w:val="2"/>
        </w:numPr>
        <w:tabs>
          <w:tab w:val="clear" w:pos="810"/>
          <w:tab w:val="num" w:pos="360"/>
        </w:tabs>
        <w:suppressAutoHyphens w:val="0"/>
        <w:ind w:left="360"/>
        <w:contextualSpacing/>
        <w:jc w:val="both"/>
        <w:rPr>
          <w:lang w:val="en-GB"/>
        </w:rPr>
      </w:pPr>
      <w:bookmarkStart w:id="41" w:name="_Ref404766515"/>
      <w:r w:rsidRPr="00CD25DA">
        <w:rPr>
          <w:lang w:val="en-GB"/>
        </w:rPr>
        <w:t xml:space="preserve">The SPRK prosecutor concluded that </w:t>
      </w:r>
      <w:r w:rsidR="0073541B" w:rsidRPr="00CD25DA">
        <w:rPr>
          <w:lang w:val="en-GB"/>
        </w:rPr>
        <w:t>“[i]</w:t>
      </w:r>
      <w:r w:rsidR="0073541B" w:rsidRPr="00CD25DA">
        <w:rPr>
          <w:bCs/>
        </w:rPr>
        <w:t xml:space="preserve">t is evident from the criminal report that there is no reasonable suspicion </w:t>
      </w:r>
      <w:r w:rsidR="0073541B" w:rsidRPr="00CD25DA">
        <w:rPr>
          <w:lang w:val="en-GB"/>
        </w:rPr>
        <w:t>that</w:t>
      </w:r>
      <w:r w:rsidR="0073541B" w:rsidRPr="00CD25DA">
        <w:rPr>
          <w:bCs/>
        </w:rPr>
        <w:t xml:space="preserve"> the suspects committed the indicated criminal offence. In addition, the Prosecutor believes that it is not reasonably likely that further investigation by the police may provide sufficient information. Moreover the file is included in the file </w:t>
      </w:r>
      <w:r w:rsidR="0073541B">
        <w:t>2003-00005.</w:t>
      </w:r>
      <w:r w:rsidRPr="00CD25DA">
        <w:rPr>
          <w:lang w:val="en-GB"/>
        </w:rPr>
        <w:t>”</w:t>
      </w:r>
      <w:r w:rsidR="00CD25DA">
        <w:rPr>
          <w:lang w:val="en-GB"/>
        </w:rPr>
        <w:t xml:space="preserve"> </w:t>
      </w:r>
      <w:r w:rsidRPr="00CD25DA">
        <w:rPr>
          <w:lang w:val="en-GB"/>
        </w:rPr>
        <w:t xml:space="preserve">Therefore, </w:t>
      </w:r>
      <w:r w:rsidR="0073541B" w:rsidRPr="00CD25DA">
        <w:rPr>
          <w:lang w:val="en-GB"/>
        </w:rPr>
        <w:t xml:space="preserve">the SPRK Prosecutor decided to </w:t>
      </w:r>
      <w:r w:rsidRPr="00CD25DA">
        <w:rPr>
          <w:lang w:val="en-GB"/>
        </w:rPr>
        <w:t>dismiss</w:t>
      </w:r>
      <w:r w:rsidR="0073541B" w:rsidRPr="00CD25DA">
        <w:rPr>
          <w:lang w:val="en-GB"/>
        </w:rPr>
        <w:t xml:space="preserve"> the criminal report and to inform the injured party, “Mr. </w:t>
      </w:r>
      <w:proofErr w:type="spellStart"/>
      <w:r w:rsidR="0073541B" w:rsidRPr="00CD25DA">
        <w:rPr>
          <w:lang w:val="en-GB"/>
        </w:rPr>
        <w:t>Petrovic</w:t>
      </w:r>
      <w:proofErr w:type="spellEnd"/>
      <w:r w:rsidR="0073541B" w:rsidRPr="00CD25DA">
        <w:rPr>
          <w:lang w:val="en-GB"/>
        </w:rPr>
        <w:t xml:space="preserve"> </w:t>
      </w:r>
      <w:proofErr w:type="spellStart"/>
      <w:r w:rsidR="0073541B" w:rsidRPr="00CD25DA">
        <w:rPr>
          <w:lang w:val="en-GB"/>
        </w:rPr>
        <w:t>Mico</w:t>
      </w:r>
      <w:proofErr w:type="spellEnd"/>
      <w:r w:rsidR="0073541B" w:rsidRPr="00CD25DA">
        <w:rPr>
          <w:lang w:val="en-GB"/>
        </w:rPr>
        <w:t xml:space="preserve"> and </w:t>
      </w:r>
      <w:proofErr w:type="spellStart"/>
      <w:r w:rsidR="0073541B" w:rsidRPr="00CD25DA">
        <w:rPr>
          <w:lang w:val="en-GB"/>
        </w:rPr>
        <w:t>Petrovic</w:t>
      </w:r>
      <w:proofErr w:type="spellEnd"/>
      <w:r w:rsidR="0073541B" w:rsidRPr="00CD25DA">
        <w:rPr>
          <w:lang w:val="en-GB"/>
        </w:rPr>
        <w:t xml:space="preserve"> </w:t>
      </w:r>
      <w:proofErr w:type="spellStart"/>
      <w:r w:rsidR="0073541B" w:rsidRPr="00CD25DA">
        <w:rPr>
          <w:lang w:val="en-GB"/>
        </w:rPr>
        <w:t>Radmil</w:t>
      </w:r>
      <w:r w:rsidR="00F515C7" w:rsidRPr="00CD25DA">
        <w:rPr>
          <w:lang w:val="en-GB"/>
        </w:rPr>
        <w:t>la</w:t>
      </w:r>
      <w:proofErr w:type="spellEnd"/>
      <w:r w:rsidR="00F515C7" w:rsidRPr="00CD25DA">
        <w:rPr>
          <w:lang w:val="en-GB"/>
        </w:rPr>
        <w:t xml:space="preserve"> [sic.]” about this decision.</w:t>
      </w:r>
      <w:bookmarkEnd w:id="41"/>
    </w:p>
    <w:p w:rsidR="00E366DC" w:rsidRPr="00653994" w:rsidRDefault="00E366DC" w:rsidP="00E025EE">
      <w:pPr>
        <w:pStyle w:val="ColorfulList-Accent11"/>
        <w:tabs>
          <w:tab w:val="num" w:pos="360"/>
        </w:tabs>
        <w:ind w:left="360"/>
        <w:rPr>
          <w:lang w:val="en-GB"/>
        </w:rPr>
      </w:pPr>
    </w:p>
    <w:p w:rsidR="00E366DC" w:rsidRDefault="00E366DC" w:rsidP="00E025EE">
      <w:pPr>
        <w:pStyle w:val="ColorfulList-Accent11"/>
        <w:numPr>
          <w:ilvl w:val="0"/>
          <w:numId w:val="2"/>
        </w:numPr>
        <w:tabs>
          <w:tab w:val="clear" w:pos="810"/>
          <w:tab w:val="num" w:pos="360"/>
        </w:tabs>
        <w:suppressAutoHyphens w:val="0"/>
        <w:ind w:left="360"/>
        <w:contextualSpacing/>
        <w:jc w:val="both"/>
        <w:rPr>
          <w:lang w:val="en-GB"/>
        </w:rPr>
      </w:pPr>
      <w:bookmarkStart w:id="42" w:name="_Ref404764514"/>
      <w:r>
        <w:rPr>
          <w:lang w:val="en-GB"/>
        </w:rPr>
        <w:t xml:space="preserve">Further in the file </w:t>
      </w:r>
      <w:r w:rsidR="00F515C7">
        <w:rPr>
          <w:lang w:val="en-GB"/>
        </w:rPr>
        <w:t>are two N</w:t>
      </w:r>
      <w:r>
        <w:rPr>
          <w:lang w:val="en-GB"/>
        </w:rPr>
        <w:t>otice</w:t>
      </w:r>
      <w:r w:rsidR="00F515C7">
        <w:rPr>
          <w:lang w:val="en-GB"/>
        </w:rPr>
        <w:t>s</w:t>
      </w:r>
      <w:r>
        <w:rPr>
          <w:lang w:val="en-GB"/>
        </w:rPr>
        <w:t xml:space="preserve"> of Dismissal of </w:t>
      </w:r>
      <w:r w:rsidR="00F515C7">
        <w:rPr>
          <w:lang w:val="en-GB"/>
        </w:rPr>
        <w:t xml:space="preserve">the </w:t>
      </w:r>
      <w:r>
        <w:rPr>
          <w:lang w:val="en-GB"/>
        </w:rPr>
        <w:t>Criminal Report, also dated 2</w:t>
      </w:r>
      <w:r w:rsidR="00F515C7">
        <w:rPr>
          <w:lang w:val="en-GB"/>
        </w:rPr>
        <w:t>2</w:t>
      </w:r>
      <w:r>
        <w:rPr>
          <w:lang w:val="en-GB"/>
        </w:rPr>
        <w:t xml:space="preserve"> July 2009</w:t>
      </w:r>
      <w:r w:rsidR="00F515C7">
        <w:rPr>
          <w:lang w:val="en-GB"/>
        </w:rPr>
        <w:t>. The first one is addre</w:t>
      </w:r>
      <w:r>
        <w:rPr>
          <w:lang w:val="en-GB"/>
        </w:rPr>
        <w:t>ssed to the Head of the EULEX WCIU</w:t>
      </w:r>
      <w:r w:rsidR="00F515C7">
        <w:rPr>
          <w:lang w:val="en-GB"/>
        </w:rPr>
        <w:t xml:space="preserve"> and the second one to “Mr. </w:t>
      </w:r>
      <w:proofErr w:type="spellStart"/>
      <w:r w:rsidR="00F515C7">
        <w:rPr>
          <w:lang w:val="en-GB"/>
        </w:rPr>
        <w:t>Petrovic</w:t>
      </w:r>
      <w:proofErr w:type="spellEnd"/>
      <w:r w:rsidR="00F515C7">
        <w:rPr>
          <w:lang w:val="en-GB"/>
        </w:rPr>
        <w:t xml:space="preserve"> </w:t>
      </w:r>
      <w:proofErr w:type="spellStart"/>
      <w:r w:rsidR="00F515C7">
        <w:rPr>
          <w:lang w:val="en-GB"/>
        </w:rPr>
        <w:t>Mico</w:t>
      </w:r>
      <w:proofErr w:type="spellEnd"/>
      <w:r w:rsidR="00F515C7">
        <w:rPr>
          <w:lang w:val="en-GB"/>
        </w:rPr>
        <w:t xml:space="preserve"> and his wife </w:t>
      </w:r>
      <w:proofErr w:type="spellStart"/>
      <w:r w:rsidR="00F515C7">
        <w:rPr>
          <w:lang w:val="en-GB"/>
        </w:rPr>
        <w:t>Petrovic</w:t>
      </w:r>
      <w:proofErr w:type="spellEnd"/>
      <w:r w:rsidR="00F515C7">
        <w:rPr>
          <w:lang w:val="en-GB"/>
        </w:rPr>
        <w:t xml:space="preserve"> </w:t>
      </w:r>
      <w:proofErr w:type="spellStart"/>
      <w:r w:rsidR="00F515C7">
        <w:rPr>
          <w:lang w:val="en-GB"/>
        </w:rPr>
        <w:t>Radmilla</w:t>
      </w:r>
      <w:proofErr w:type="spellEnd"/>
      <w:r w:rsidR="00F515C7">
        <w:rPr>
          <w:lang w:val="en-GB"/>
        </w:rPr>
        <w:t xml:space="preserve">, injured parties in the above references case [sic.]”. </w:t>
      </w:r>
      <w:r w:rsidR="00E137E7">
        <w:rPr>
          <w:lang w:val="en-GB"/>
        </w:rPr>
        <w:t>Neither</w:t>
      </w:r>
      <w:r w:rsidR="00F515C7">
        <w:rPr>
          <w:lang w:val="en-GB"/>
        </w:rPr>
        <w:t xml:space="preserve"> document bear</w:t>
      </w:r>
      <w:r w:rsidR="00E137E7">
        <w:rPr>
          <w:lang w:val="en-GB"/>
        </w:rPr>
        <w:t>s</w:t>
      </w:r>
      <w:r w:rsidR="00F515C7">
        <w:rPr>
          <w:lang w:val="en-GB"/>
        </w:rPr>
        <w:t xml:space="preserve"> stamps or prosecutor’s signatures.</w:t>
      </w:r>
      <w:bookmarkEnd w:id="42"/>
    </w:p>
    <w:p w:rsidR="00653994" w:rsidRPr="00EE6125" w:rsidRDefault="00653994" w:rsidP="00653994">
      <w:pPr>
        <w:contextualSpacing/>
        <w:jc w:val="both"/>
        <w:rPr>
          <w:color w:val="000000"/>
          <w:lang w:val="en-GB"/>
        </w:rPr>
      </w:pPr>
    </w:p>
    <w:p w:rsidR="00CA6855" w:rsidRPr="004B4A37" w:rsidRDefault="006670FB" w:rsidP="00F0555D">
      <w:pPr>
        <w:pStyle w:val="ColorfulList-Accent11"/>
        <w:numPr>
          <w:ilvl w:val="0"/>
          <w:numId w:val="14"/>
        </w:numPr>
        <w:ind w:left="270" w:hanging="270"/>
        <w:jc w:val="both"/>
        <w:rPr>
          <w:i/>
          <w:lang w:val="en-GB"/>
        </w:rPr>
      </w:pPr>
      <w:r w:rsidRPr="004B4A37">
        <w:rPr>
          <w:i/>
          <w:lang w:val="en-GB"/>
        </w:rPr>
        <w:t xml:space="preserve">Investigation </w:t>
      </w:r>
      <w:r w:rsidR="00320180" w:rsidRPr="004B4A37">
        <w:rPr>
          <w:i/>
          <w:lang w:val="en-GB"/>
        </w:rPr>
        <w:t xml:space="preserve">in relation to </w:t>
      </w:r>
      <w:r w:rsidRPr="004B4A37">
        <w:rPr>
          <w:i/>
          <w:lang w:val="en-GB"/>
        </w:rPr>
        <w:t>all victims</w:t>
      </w:r>
      <w:r w:rsidR="004B4A37" w:rsidRPr="004B4A37">
        <w:rPr>
          <w:i/>
          <w:lang w:val="en-GB"/>
        </w:rPr>
        <w:t xml:space="preserve"> (</w:t>
      </w:r>
      <w:r w:rsidR="004B4A37" w:rsidRPr="00EE6125">
        <w:rPr>
          <w:i/>
          <w:color w:val="000000"/>
          <w:lang w:val="en-GB"/>
        </w:rPr>
        <w:t>case no. 2003-00005)</w:t>
      </w:r>
    </w:p>
    <w:p w:rsidR="006670FB" w:rsidRPr="00EE6125" w:rsidRDefault="006670FB" w:rsidP="006670FB">
      <w:pPr>
        <w:pStyle w:val="ColorfulList-Accent11"/>
        <w:suppressAutoHyphens w:val="0"/>
        <w:ind w:left="360"/>
        <w:contextualSpacing/>
        <w:jc w:val="both"/>
        <w:rPr>
          <w:color w:val="000000"/>
          <w:highlight w:val="yellow"/>
          <w:lang w:val="en-GB"/>
        </w:rPr>
      </w:pPr>
    </w:p>
    <w:p w:rsidR="00AD7BED" w:rsidRPr="00EE6125" w:rsidRDefault="00AD7BED" w:rsidP="00F35DD1">
      <w:pPr>
        <w:pStyle w:val="ColorfulList-Accent11"/>
        <w:numPr>
          <w:ilvl w:val="0"/>
          <w:numId w:val="2"/>
        </w:numPr>
        <w:tabs>
          <w:tab w:val="num" w:pos="450"/>
        </w:tabs>
        <w:suppressAutoHyphens w:val="0"/>
        <w:ind w:left="450" w:hanging="450"/>
        <w:contextualSpacing/>
        <w:jc w:val="both"/>
        <w:rPr>
          <w:color w:val="000000"/>
          <w:lang w:val="en-GB"/>
        </w:rPr>
      </w:pPr>
      <w:bookmarkStart w:id="43" w:name="_Ref404698375"/>
      <w:r w:rsidRPr="00EE6125">
        <w:rPr>
          <w:color w:val="000000"/>
          <w:lang w:val="en-GB"/>
        </w:rPr>
        <w:t>According to the CCIU Case Brief Sheet, a joint investigation was conducted into the abduction and disappearance of the complainants’</w:t>
      </w:r>
      <w:r w:rsidR="005A61F1" w:rsidRPr="00EE6125">
        <w:rPr>
          <w:color w:val="000000"/>
          <w:lang w:val="en-GB"/>
        </w:rPr>
        <w:t xml:space="preserve"> relatives</w:t>
      </w:r>
      <w:r w:rsidRPr="00EE6125">
        <w:rPr>
          <w:color w:val="000000"/>
          <w:lang w:val="en-GB"/>
        </w:rPr>
        <w:t xml:space="preserve"> and </w:t>
      </w:r>
      <w:r w:rsidR="00E137E7">
        <w:rPr>
          <w:color w:val="000000"/>
          <w:lang w:val="en-GB"/>
        </w:rPr>
        <w:t xml:space="preserve">the </w:t>
      </w:r>
      <w:r w:rsidRPr="00EE6125">
        <w:rPr>
          <w:color w:val="000000"/>
          <w:lang w:val="en-GB"/>
        </w:rPr>
        <w:t xml:space="preserve">killing of Mrs </w:t>
      </w:r>
      <w:proofErr w:type="spellStart"/>
      <w:r w:rsidRPr="00EE6125">
        <w:rPr>
          <w:color w:val="000000"/>
          <w:lang w:val="en-GB"/>
        </w:rPr>
        <w:t>Dragica</w:t>
      </w:r>
      <w:proofErr w:type="spellEnd"/>
      <w:r w:rsidRPr="00EE6125">
        <w:rPr>
          <w:color w:val="000000"/>
          <w:lang w:val="en-GB"/>
        </w:rPr>
        <w:t xml:space="preserve"> </w:t>
      </w:r>
      <w:proofErr w:type="spellStart"/>
      <w:r w:rsidRPr="00EE6125">
        <w:rPr>
          <w:color w:val="000000"/>
          <w:lang w:val="en-GB"/>
        </w:rPr>
        <w:t>Petrićević</w:t>
      </w:r>
      <w:proofErr w:type="spellEnd"/>
      <w:r w:rsidRPr="00EE6125">
        <w:rPr>
          <w:color w:val="000000"/>
          <w:lang w:val="en-GB"/>
        </w:rPr>
        <w:t xml:space="preserve"> </w:t>
      </w:r>
      <w:r w:rsidR="00867A1A" w:rsidRPr="00EE6125">
        <w:rPr>
          <w:color w:val="000000"/>
          <w:lang w:val="en-GB"/>
        </w:rPr>
        <w:t xml:space="preserve">(the mother-in-law of Ms </w:t>
      </w:r>
      <w:proofErr w:type="spellStart"/>
      <w:r w:rsidR="00867A1A" w:rsidRPr="00EE6125">
        <w:rPr>
          <w:color w:val="000000"/>
          <w:lang w:val="en-GB"/>
        </w:rPr>
        <w:t>Rosanda</w:t>
      </w:r>
      <w:proofErr w:type="spellEnd"/>
      <w:r w:rsidR="00867A1A" w:rsidRPr="00EE6125">
        <w:rPr>
          <w:color w:val="000000"/>
          <w:lang w:val="en-GB"/>
        </w:rPr>
        <w:t xml:space="preserve"> </w:t>
      </w:r>
      <w:proofErr w:type="spellStart"/>
      <w:r w:rsidR="00867A1A" w:rsidRPr="00EE6125">
        <w:rPr>
          <w:color w:val="000000"/>
          <w:lang w:val="en-GB"/>
        </w:rPr>
        <w:t>Kabaš</w:t>
      </w:r>
      <w:proofErr w:type="spellEnd"/>
      <w:r w:rsidR="00867A1A" w:rsidRPr="00EE6125">
        <w:rPr>
          <w:color w:val="000000"/>
          <w:lang w:val="en-GB"/>
        </w:rPr>
        <w:t>)</w:t>
      </w:r>
      <w:r w:rsidRPr="00EE6125">
        <w:rPr>
          <w:color w:val="000000"/>
          <w:lang w:val="en-GB"/>
        </w:rPr>
        <w:t>, under the case no. 2003-00005.</w:t>
      </w:r>
      <w:r w:rsidR="00447C5A" w:rsidRPr="00EE6125">
        <w:rPr>
          <w:color w:val="000000"/>
          <w:lang w:val="en-GB"/>
        </w:rPr>
        <w:t xml:space="preserve"> It has very brief description of their abductions; it also names </w:t>
      </w:r>
      <w:r w:rsidR="00E137E7">
        <w:rPr>
          <w:color w:val="000000"/>
          <w:lang w:val="en-GB"/>
        </w:rPr>
        <w:t xml:space="preserve">a </w:t>
      </w:r>
      <w:r w:rsidR="00447C5A" w:rsidRPr="00EE6125">
        <w:rPr>
          <w:color w:val="000000"/>
          <w:lang w:val="en-GB"/>
        </w:rPr>
        <w:t>certain Mr A.H. as a witness.</w:t>
      </w:r>
      <w:bookmarkEnd w:id="43"/>
    </w:p>
    <w:p w:rsidR="00AD7BED" w:rsidRPr="00EE6125" w:rsidRDefault="00AD7BED" w:rsidP="00AD7BED">
      <w:pPr>
        <w:pStyle w:val="ColorfulList-Accent11"/>
        <w:suppressAutoHyphens w:val="0"/>
        <w:ind w:left="360"/>
        <w:contextualSpacing/>
        <w:jc w:val="both"/>
        <w:rPr>
          <w:color w:val="000000"/>
          <w:lang w:val="en-GB"/>
        </w:rPr>
      </w:pPr>
    </w:p>
    <w:p w:rsidR="006670FB" w:rsidRPr="00EE6125" w:rsidRDefault="006670FB" w:rsidP="00F35DD1">
      <w:pPr>
        <w:pStyle w:val="ColorfulList-Accent11"/>
        <w:numPr>
          <w:ilvl w:val="0"/>
          <w:numId w:val="2"/>
        </w:numPr>
        <w:tabs>
          <w:tab w:val="num" w:pos="450"/>
        </w:tabs>
        <w:suppressAutoHyphens w:val="0"/>
        <w:ind w:left="450" w:hanging="450"/>
        <w:contextualSpacing/>
        <w:jc w:val="both"/>
        <w:rPr>
          <w:color w:val="000000"/>
          <w:lang w:val="en-GB"/>
        </w:rPr>
      </w:pPr>
      <w:bookmarkStart w:id="44" w:name="_Ref404706915"/>
      <w:r w:rsidRPr="00EE6125">
        <w:rPr>
          <w:color w:val="000000"/>
          <w:lang w:val="en-GB"/>
        </w:rPr>
        <w:t xml:space="preserve">Also </w:t>
      </w:r>
      <w:r w:rsidRPr="00CA5624">
        <w:t>in</w:t>
      </w:r>
      <w:r w:rsidRPr="00EE6125">
        <w:rPr>
          <w:color w:val="000000"/>
          <w:lang w:val="en-GB"/>
        </w:rPr>
        <w:t xml:space="preserve"> the file is a WCIU Case Analysis Report, dated 5 October 2007, referenced to the case no. 2003-00005. The number of victims reflected there is “11”</w:t>
      </w:r>
      <w:proofErr w:type="gramStart"/>
      <w:r w:rsidRPr="00EE6125">
        <w:rPr>
          <w:color w:val="000000"/>
          <w:lang w:val="en-GB"/>
        </w:rPr>
        <w:t>,</w:t>
      </w:r>
      <w:proofErr w:type="gramEnd"/>
      <w:r w:rsidRPr="00EE6125">
        <w:rPr>
          <w:color w:val="000000"/>
          <w:lang w:val="en-GB"/>
        </w:rPr>
        <w:t xml:space="preserve"> number of known witnesses is “3 + 2 reporting parties”, number of witness statements “zero”. This report refers to two identified suspects: F.D., and </w:t>
      </w:r>
      <w:r w:rsidR="008D52F2">
        <w:rPr>
          <w:color w:val="000000"/>
          <w:lang w:val="en-GB"/>
        </w:rPr>
        <w:t>A</w:t>
      </w:r>
      <w:r w:rsidRPr="00EE6125">
        <w:rPr>
          <w:color w:val="000000"/>
          <w:lang w:val="en-GB"/>
        </w:rPr>
        <w:t>.S; the field “Investigator Recommendation/Opinion” reads:</w:t>
      </w:r>
      <w:bookmarkEnd w:id="44"/>
    </w:p>
    <w:p w:rsidR="006670FB" w:rsidRPr="00EE6125" w:rsidRDefault="006670FB" w:rsidP="006670FB">
      <w:pPr>
        <w:pStyle w:val="ColorfulList-Accent11"/>
        <w:ind w:right="270"/>
        <w:jc w:val="both"/>
        <w:rPr>
          <w:color w:val="000000"/>
          <w:lang w:val="en-GB"/>
        </w:rPr>
      </w:pPr>
    </w:p>
    <w:p w:rsidR="00320180" w:rsidRPr="0023644A" w:rsidRDefault="006670FB" w:rsidP="0023644A">
      <w:pPr>
        <w:pStyle w:val="ColorfulList-Accent11"/>
        <w:ind w:right="270"/>
        <w:jc w:val="both"/>
        <w:rPr>
          <w:color w:val="FF0000"/>
          <w:lang w:val="en-GB"/>
        </w:rPr>
      </w:pPr>
      <w:r w:rsidRPr="00EE6125">
        <w:rPr>
          <w:color w:val="000000"/>
          <w:lang w:val="en-GB"/>
        </w:rPr>
        <w:t xml:space="preserve">“The case has 10 known witnesses but there are no witness statements to be found in the report material at hand. Three suspects are named but it seems like no investigation has been carried out. I recommend that this case </w:t>
      </w:r>
      <w:r w:rsidRPr="00A8429D">
        <w:rPr>
          <w:lang w:val="en-GB"/>
        </w:rPr>
        <w:t xml:space="preserve">should be </w:t>
      </w:r>
      <w:proofErr w:type="gramStart"/>
      <w:r w:rsidRPr="00A8429D">
        <w:rPr>
          <w:lang w:val="en-GB"/>
        </w:rPr>
        <w:t>OPEN</w:t>
      </w:r>
      <w:proofErr w:type="gramEnd"/>
      <w:r w:rsidRPr="00A8429D">
        <w:rPr>
          <w:lang w:val="en-GB"/>
        </w:rPr>
        <w:t xml:space="preserve"> and assigned to an IPO [International Police Officer] as there</w:t>
      </w:r>
      <w:r w:rsidR="0023644A" w:rsidRPr="00A8429D">
        <w:rPr>
          <w:lang w:val="en-GB"/>
        </w:rPr>
        <w:t xml:space="preserve"> is good possibility that some of the 10 witnesses has important information in regard to the crimes.</w:t>
      </w:r>
      <w:bookmarkStart w:id="45" w:name="_Ref374549212"/>
      <w:bookmarkStart w:id="46" w:name="_Ref375582034"/>
      <w:r w:rsidR="00A8429D" w:rsidRPr="00A8429D">
        <w:rPr>
          <w:lang w:val="en-GB"/>
        </w:rPr>
        <w:t>”</w:t>
      </w:r>
    </w:p>
    <w:p w:rsidR="0023644A" w:rsidRPr="000D0C3A" w:rsidRDefault="0023644A" w:rsidP="0023644A">
      <w:pPr>
        <w:pStyle w:val="ColorfulList-Accent11"/>
        <w:ind w:right="270"/>
        <w:jc w:val="both"/>
        <w:rPr>
          <w:color w:val="0070C0"/>
          <w:lang w:val="en-GB"/>
        </w:rPr>
      </w:pPr>
    </w:p>
    <w:p w:rsidR="00E5360E" w:rsidRDefault="00E5360E" w:rsidP="00F35DD1">
      <w:pPr>
        <w:pStyle w:val="ColorfulList-Accent11"/>
        <w:numPr>
          <w:ilvl w:val="0"/>
          <w:numId w:val="2"/>
        </w:numPr>
        <w:tabs>
          <w:tab w:val="num" w:pos="450"/>
        </w:tabs>
        <w:suppressAutoHyphens w:val="0"/>
        <w:ind w:left="450" w:hanging="450"/>
        <w:contextualSpacing/>
        <w:jc w:val="both"/>
        <w:rPr>
          <w:lang w:val="en-GB"/>
        </w:rPr>
      </w:pPr>
      <w:bookmarkStart w:id="47" w:name="_Ref404707022"/>
      <w:bookmarkStart w:id="48" w:name="_Ref392513023"/>
      <w:bookmarkStart w:id="49" w:name="_Ref378855738"/>
      <w:r>
        <w:rPr>
          <w:lang w:val="en-GB"/>
        </w:rPr>
        <w:t xml:space="preserve">The file further contains a </w:t>
      </w:r>
      <w:r w:rsidR="008B479E">
        <w:rPr>
          <w:lang w:val="en-GB"/>
        </w:rPr>
        <w:t>WCIU Case Report</w:t>
      </w:r>
      <w:r w:rsidR="008B479E" w:rsidRPr="008B479E">
        <w:rPr>
          <w:lang w:val="en-GB"/>
        </w:rPr>
        <w:t xml:space="preserve"> </w:t>
      </w:r>
      <w:r w:rsidR="008B479E">
        <w:rPr>
          <w:lang w:val="en-GB"/>
        </w:rPr>
        <w:t>in relation to the case no. 2003-00005</w:t>
      </w:r>
      <w:r>
        <w:rPr>
          <w:lang w:val="en-GB"/>
        </w:rPr>
        <w:t xml:space="preserve">, </w:t>
      </w:r>
      <w:r w:rsidR="008B479E" w:rsidRPr="00F35DD1">
        <w:t>generated</w:t>
      </w:r>
      <w:r w:rsidR="008B479E">
        <w:rPr>
          <w:lang w:val="en-GB"/>
        </w:rPr>
        <w:t xml:space="preserve"> from the WCIU database on</w:t>
      </w:r>
      <w:r>
        <w:rPr>
          <w:lang w:val="en-GB"/>
        </w:rPr>
        <w:t xml:space="preserve"> 11 October 2007.</w:t>
      </w:r>
      <w:r w:rsidR="00AA489A">
        <w:rPr>
          <w:lang w:val="en-GB"/>
        </w:rPr>
        <w:t xml:space="preserve"> The type of crime is entered as “War Crime – Murder”;</w:t>
      </w:r>
      <w:bookmarkStart w:id="50" w:name="_Ref401155816"/>
      <w:r w:rsidR="00AD7BED" w:rsidRPr="00AD7BED">
        <w:rPr>
          <w:lang w:val="en-GB"/>
        </w:rPr>
        <w:t xml:space="preserve"> </w:t>
      </w:r>
      <w:r w:rsidR="00AD7BED">
        <w:rPr>
          <w:lang w:val="en-GB"/>
        </w:rPr>
        <w:t>it</w:t>
      </w:r>
      <w:r w:rsidR="00AD7BED" w:rsidRPr="00AD7BED">
        <w:rPr>
          <w:lang w:val="en-GB"/>
        </w:rPr>
        <w:t xml:space="preserve"> mentions Ms </w:t>
      </w:r>
      <w:proofErr w:type="spellStart"/>
      <w:r w:rsidR="00AD7BED" w:rsidRPr="00AD7BED">
        <w:rPr>
          <w:lang w:val="en-GB"/>
        </w:rPr>
        <w:t>Rosanda</w:t>
      </w:r>
      <w:proofErr w:type="spellEnd"/>
      <w:r w:rsidR="00AD7BED" w:rsidRPr="00AD7BED">
        <w:rPr>
          <w:lang w:val="en-GB"/>
        </w:rPr>
        <w:t xml:space="preserve"> </w:t>
      </w:r>
      <w:proofErr w:type="spellStart"/>
      <w:r w:rsidR="00AD7BED" w:rsidRPr="00AD7BED">
        <w:rPr>
          <w:lang w:val="en-GB"/>
        </w:rPr>
        <w:t>Kabaš</w:t>
      </w:r>
      <w:proofErr w:type="spellEnd"/>
      <w:r w:rsidR="00AD7BED" w:rsidRPr="00AD7BED">
        <w:rPr>
          <w:lang w:val="en-GB"/>
        </w:rPr>
        <w:t xml:space="preserve"> as </w:t>
      </w:r>
      <w:r w:rsidR="00AD7BED">
        <w:rPr>
          <w:lang w:val="en-GB"/>
        </w:rPr>
        <w:t xml:space="preserve">a </w:t>
      </w:r>
      <w:r w:rsidR="00AD7BED" w:rsidRPr="00AD7BED">
        <w:rPr>
          <w:lang w:val="en-GB"/>
        </w:rPr>
        <w:t>“Reporting Party”</w:t>
      </w:r>
      <w:bookmarkEnd w:id="50"/>
      <w:r w:rsidR="00AD7BED">
        <w:rPr>
          <w:lang w:val="en-GB"/>
        </w:rPr>
        <w:t xml:space="preserve">; </w:t>
      </w:r>
      <w:r w:rsidR="00AA489A">
        <w:rPr>
          <w:lang w:val="en-GB"/>
        </w:rPr>
        <w:t xml:space="preserve">the case is marked as “low priority”. </w:t>
      </w:r>
      <w:r>
        <w:rPr>
          <w:lang w:val="en-GB"/>
        </w:rPr>
        <w:t xml:space="preserve"> The part “Summary” has a number of entries:</w:t>
      </w:r>
      <w:bookmarkEnd w:id="47"/>
    </w:p>
    <w:p w:rsidR="00E5360E" w:rsidRDefault="00E5360E" w:rsidP="00E5360E">
      <w:pPr>
        <w:pStyle w:val="ColorfulList-Accent11"/>
        <w:suppressAutoHyphens w:val="0"/>
        <w:ind w:left="360"/>
        <w:contextualSpacing/>
        <w:jc w:val="both"/>
        <w:rPr>
          <w:lang w:val="en-GB"/>
        </w:rPr>
      </w:pPr>
    </w:p>
    <w:p w:rsidR="00E5360E" w:rsidRDefault="00E5360E" w:rsidP="00C5394C">
      <w:pPr>
        <w:pStyle w:val="ColorfulList-Accent11"/>
        <w:numPr>
          <w:ilvl w:val="0"/>
          <w:numId w:val="17"/>
        </w:numPr>
        <w:tabs>
          <w:tab w:val="num" w:pos="540"/>
        </w:tabs>
        <w:spacing w:after="120"/>
        <w:ind w:left="810" w:right="360" w:hanging="270"/>
        <w:jc w:val="both"/>
        <w:rPr>
          <w:lang w:val="en-GB"/>
        </w:rPr>
      </w:pPr>
      <w:r>
        <w:rPr>
          <w:lang w:val="en-GB"/>
        </w:rPr>
        <w:t xml:space="preserve">the initial one, dated 24 February 2003, reads: </w:t>
      </w:r>
    </w:p>
    <w:p w:rsidR="00E5360E" w:rsidRDefault="00E5360E" w:rsidP="00C5394C">
      <w:pPr>
        <w:pStyle w:val="ColorfulList-Accent11"/>
        <w:spacing w:after="120"/>
        <w:ind w:left="900" w:right="360"/>
        <w:jc w:val="both"/>
        <w:rPr>
          <w:lang w:val="en-GB"/>
        </w:rPr>
      </w:pPr>
      <w:r>
        <w:rPr>
          <w:lang w:val="en-GB"/>
        </w:rPr>
        <w:lastRenderedPageBreak/>
        <w:t>“It would appear that, as of 12</w:t>
      </w:r>
      <w:r w:rsidRPr="00E5360E">
        <w:rPr>
          <w:vertAlign w:val="superscript"/>
          <w:lang w:val="en-GB"/>
        </w:rPr>
        <w:t>th</w:t>
      </w:r>
      <w:r>
        <w:rPr>
          <w:lang w:val="en-GB"/>
        </w:rPr>
        <w:t xml:space="preserve"> June 1999, the UCK Paramilitaries in DJAKOVICA placed guards outside the buildings in </w:t>
      </w:r>
      <w:proofErr w:type="spellStart"/>
      <w:r>
        <w:rPr>
          <w:lang w:val="en-GB"/>
        </w:rPr>
        <w:t>Milosa</w:t>
      </w:r>
      <w:proofErr w:type="spellEnd"/>
      <w:r>
        <w:rPr>
          <w:lang w:val="en-GB"/>
        </w:rPr>
        <w:t xml:space="preserve"> </w:t>
      </w:r>
      <w:proofErr w:type="spellStart"/>
      <w:r>
        <w:rPr>
          <w:lang w:val="en-GB"/>
        </w:rPr>
        <w:t>Obilica</w:t>
      </w:r>
      <w:proofErr w:type="spellEnd"/>
      <w:r>
        <w:rPr>
          <w:lang w:val="en-GB"/>
        </w:rPr>
        <w:t xml:space="preserve"> Street, where Serbian families lived, and required them to report to UCK HQ every day.</w:t>
      </w:r>
    </w:p>
    <w:p w:rsidR="00E5360E" w:rsidRDefault="00E5360E" w:rsidP="00C5394C">
      <w:pPr>
        <w:pStyle w:val="ColorfulList-Accent11"/>
        <w:spacing w:after="120"/>
        <w:ind w:left="900" w:right="360"/>
        <w:jc w:val="both"/>
        <w:rPr>
          <w:lang w:val="en-GB"/>
        </w:rPr>
      </w:pPr>
      <w:r>
        <w:rPr>
          <w:lang w:val="en-GB"/>
        </w:rPr>
        <w:t xml:space="preserve">The suspect, [F.D.], was one of those assigned as a </w:t>
      </w:r>
      <w:proofErr w:type="gramStart"/>
      <w:r>
        <w:rPr>
          <w:lang w:val="en-GB"/>
        </w:rPr>
        <w:t>guard,</w:t>
      </w:r>
      <w:proofErr w:type="gramEnd"/>
      <w:r>
        <w:rPr>
          <w:lang w:val="en-GB"/>
        </w:rPr>
        <w:t xml:space="preserve"> he is also named as one of the abductors.</w:t>
      </w:r>
    </w:p>
    <w:p w:rsidR="00E5360E" w:rsidRDefault="00E5360E" w:rsidP="00C5394C">
      <w:pPr>
        <w:pStyle w:val="ColorfulList-Accent11"/>
        <w:spacing w:after="120"/>
        <w:ind w:left="900" w:right="360"/>
        <w:jc w:val="both"/>
        <w:rPr>
          <w:lang w:val="en-GB"/>
        </w:rPr>
      </w:pPr>
      <w:r>
        <w:rPr>
          <w:lang w:val="en-GB"/>
        </w:rPr>
        <w:t xml:space="preserve">During a late evening and night, </w:t>
      </w:r>
      <w:proofErr w:type="spellStart"/>
      <w:r>
        <w:rPr>
          <w:lang w:val="en-GB"/>
        </w:rPr>
        <w:t>some time</w:t>
      </w:r>
      <w:proofErr w:type="spellEnd"/>
      <w:r>
        <w:rPr>
          <w:lang w:val="en-GB"/>
        </w:rPr>
        <w:t xml:space="preserve"> later in June 1999, a number of the families were forcibly taken from their homes.</w:t>
      </w:r>
    </w:p>
    <w:p w:rsidR="00E5360E" w:rsidRDefault="00E5360E" w:rsidP="00C5394C">
      <w:pPr>
        <w:pStyle w:val="ColorfulList-Accent11"/>
        <w:spacing w:after="120"/>
        <w:ind w:left="900" w:right="360"/>
        <w:jc w:val="both"/>
        <w:rPr>
          <w:lang w:val="en-GB"/>
        </w:rPr>
      </w:pPr>
      <w:r w:rsidRPr="00215AAA">
        <w:rPr>
          <w:lang w:val="en-GB"/>
        </w:rPr>
        <w:t xml:space="preserve">A member of one of the families, </w:t>
      </w:r>
      <w:proofErr w:type="spellStart"/>
      <w:r w:rsidRPr="00215AAA">
        <w:rPr>
          <w:lang w:val="en-GB"/>
        </w:rPr>
        <w:t>Dragica</w:t>
      </w:r>
      <w:proofErr w:type="spellEnd"/>
      <w:r w:rsidRPr="00215AAA">
        <w:rPr>
          <w:lang w:val="en-GB"/>
        </w:rPr>
        <w:t xml:space="preserve"> PETRICEVIC</w:t>
      </w:r>
      <w:r w:rsidR="00150ED9" w:rsidRPr="00215AAA">
        <w:rPr>
          <w:rStyle w:val="FootnoteReference"/>
          <w:lang w:val="en-GB"/>
        </w:rPr>
        <w:footnoteReference w:id="18"/>
      </w:r>
      <w:r w:rsidRPr="00215AAA">
        <w:rPr>
          <w:lang w:val="en-GB"/>
        </w:rPr>
        <w:t>, was later found dead near</w:t>
      </w:r>
      <w:r>
        <w:rPr>
          <w:lang w:val="en-GB"/>
        </w:rPr>
        <w:t xml:space="preserve"> Wine Cellar in </w:t>
      </w:r>
      <w:proofErr w:type="spellStart"/>
      <w:r>
        <w:rPr>
          <w:lang w:val="en-GB"/>
        </w:rPr>
        <w:t>Djakovica</w:t>
      </w:r>
      <w:proofErr w:type="spellEnd"/>
      <w:r>
        <w:rPr>
          <w:lang w:val="en-GB"/>
        </w:rPr>
        <w:t>.</w:t>
      </w:r>
    </w:p>
    <w:p w:rsidR="00E5360E" w:rsidRDefault="00E5360E" w:rsidP="00C5394C">
      <w:pPr>
        <w:pStyle w:val="ColorfulList-Accent11"/>
        <w:spacing w:after="120"/>
        <w:ind w:left="900" w:right="360"/>
        <w:jc w:val="both"/>
        <w:rPr>
          <w:lang w:val="en-GB"/>
        </w:rPr>
      </w:pPr>
      <w:r>
        <w:rPr>
          <w:lang w:val="en-GB"/>
        </w:rPr>
        <w:t xml:space="preserve">The Victim, </w:t>
      </w:r>
      <w:proofErr w:type="spellStart"/>
      <w:r>
        <w:rPr>
          <w:lang w:val="en-GB"/>
        </w:rPr>
        <w:t>Mico</w:t>
      </w:r>
      <w:proofErr w:type="spellEnd"/>
      <w:r>
        <w:rPr>
          <w:lang w:val="en-GB"/>
        </w:rPr>
        <w:t xml:space="preserve"> PETROVIC, owned a brown Me</w:t>
      </w:r>
      <w:r w:rsidR="00DD3BB5">
        <w:rPr>
          <w:lang w:val="en-GB"/>
        </w:rPr>
        <w:t>r</w:t>
      </w:r>
      <w:r>
        <w:rPr>
          <w:lang w:val="en-GB"/>
        </w:rPr>
        <w:t>cedes motor vehicle, which had been hidden with an Albanian Friend, [A.H.], this vehicle was forcibly taken from [A.H.], by the suspect, [A.S.], who apparently still drives this vehicle.</w:t>
      </w:r>
      <w:r w:rsidR="00DD3BB5">
        <w:rPr>
          <w:lang w:val="en-GB"/>
        </w:rPr>
        <w:t>”</w:t>
      </w:r>
    </w:p>
    <w:p w:rsidR="00E5360E" w:rsidRDefault="00AA489A" w:rsidP="00C5394C">
      <w:pPr>
        <w:pStyle w:val="ColorfulList-Accent11"/>
        <w:numPr>
          <w:ilvl w:val="0"/>
          <w:numId w:val="17"/>
        </w:numPr>
        <w:tabs>
          <w:tab w:val="num" w:pos="540"/>
        </w:tabs>
        <w:spacing w:after="120"/>
        <w:ind w:left="810" w:right="360" w:hanging="270"/>
        <w:jc w:val="both"/>
        <w:rPr>
          <w:lang w:val="en-GB"/>
        </w:rPr>
      </w:pPr>
      <w:r>
        <w:rPr>
          <w:lang w:val="en-GB"/>
        </w:rPr>
        <w:t>t</w:t>
      </w:r>
      <w:r w:rsidR="00E5360E">
        <w:rPr>
          <w:lang w:val="en-GB"/>
        </w:rPr>
        <w:t xml:space="preserve">he next input, dated 8 </w:t>
      </w:r>
      <w:r w:rsidR="00DF22D2">
        <w:rPr>
          <w:lang w:val="en-GB"/>
        </w:rPr>
        <w:t>A</w:t>
      </w:r>
      <w:r w:rsidR="00E5360E">
        <w:rPr>
          <w:lang w:val="en-GB"/>
        </w:rPr>
        <w:t>ugust 2005, reads:</w:t>
      </w:r>
    </w:p>
    <w:p w:rsidR="00E5360E" w:rsidRDefault="00E5360E" w:rsidP="006A3DDA">
      <w:pPr>
        <w:pStyle w:val="ColorfulList-Accent11"/>
        <w:spacing w:after="120"/>
        <w:ind w:right="360"/>
        <w:jc w:val="both"/>
        <w:rPr>
          <w:lang w:val="en-GB"/>
        </w:rPr>
      </w:pPr>
      <w:r>
        <w:rPr>
          <w:lang w:val="en-GB"/>
        </w:rPr>
        <w:t xml:space="preserve">“[A.S.], aka </w:t>
      </w:r>
      <w:proofErr w:type="spellStart"/>
      <w:r>
        <w:rPr>
          <w:lang w:val="en-GB"/>
        </w:rPr>
        <w:t>Zifa</w:t>
      </w:r>
      <w:proofErr w:type="spellEnd"/>
      <w:r>
        <w:rPr>
          <w:lang w:val="en-GB"/>
        </w:rPr>
        <w:t xml:space="preserve">, from </w:t>
      </w:r>
      <w:proofErr w:type="spellStart"/>
      <w:r>
        <w:rPr>
          <w:lang w:val="en-GB"/>
        </w:rPr>
        <w:t>Djakovica</w:t>
      </w:r>
      <w:proofErr w:type="spellEnd"/>
      <w:r>
        <w:rPr>
          <w:lang w:val="en-GB"/>
        </w:rPr>
        <w:t xml:space="preserve"> has spent many years in CIPAT band. [S.] is considered from MUP the main suspect of the 12 </w:t>
      </w:r>
      <w:proofErr w:type="spellStart"/>
      <w:r>
        <w:rPr>
          <w:lang w:val="en-GB"/>
        </w:rPr>
        <w:t>Romas</w:t>
      </w:r>
      <w:proofErr w:type="spellEnd"/>
      <w:r>
        <w:rPr>
          <w:lang w:val="en-GB"/>
        </w:rPr>
        <w:t xml:space="preserve">. 4 of the </w:t>
      </w:r>
      <w:proofErr w:type="spellStart"/>
      <w:r>
        <w:rPr>
          <w:lang w:val="en-GB"/>
        </w:rPr>
        <w:t>Romas</w:t>
      </w:r>
      <w:proofErr w:type="spellEnd"/>
      <w:r>
        <w:rPr>
          <w:lang w:val="en-GB"/>
        </w:rPr>
        <w:t xml:space="preserve"> were executed in the cellar of Hotel </w:t>
      </w:r>
      <w:proofErr w:type="spellStart"/>
      <w:r>
        <w:rPr>
          <w:lang w:val="en-GB"/>
        </w:rPr>
        <w:t>Pastriku</w:t>
      </w:r>
      <w:proofErr w:type="spellEnd"/>
      <w:r>
        <w:rPr>
          <w:lang w:val="en-GB"/>
        </w:rPr>
        <w:t xml:space="preserve"> downtown </w:t>
      </w:r>
      <w:proofErr w:type="spellStart"/>
      <w:r>
        <w:rPr>
          <w:lang w:val="en-GB"/>
        </w:rPr>
        <w:t>Djakovica</w:t>
      </w:r>
      <w:proofErr w:type="spellEnd"/>
      <w:r>
        <w:rPr>
          <w:lang w:val="en-GB"/>
        </w:rPr>
        <w:t>.”</w:t>
      </w:r>
    </w:p>
    <w:p w:rsidR="00E5360E" w:rsidRPr="00AA489A" w:rsidRDefault="00AA489A" w:rsidP="00C5394C">
      <w:pPr>
        <w:pStyle w:val="ColorfulList-Accent11"/>
        <w:numPr>
          <w:ilvl w:val="0"/>
          <w:numId w:val="17"/>
        </w:numPr>
        <w:tabs>
          <w:tab w:val="num" w:pos="540"/>
        </w:tabs>
        <w:spacing w:after="120"/>
        <w:ind w:left="810" w:right="360" w:hanging="270"/>
        <w:jc w:val="both"/>
        <w:rPr>
          <w:lang w:val="en-GB"/>
        </w:rPr>
      </w:pPr>
      <w:proofErr w:type="gramStart"/>
      <w:r w:rsidRPr="00AA489A">
        <w:rPr>
          <w:lang w:val="en-GB"/>
        </w:rPr>
        <w:t>the</w:t>
      </w:r>
      <w:proofErr w:type="gramEnd"/>
      <w:r w:rsidRPr="00AA489A">
        <w:rPr>
          <w:lang w:val="en-GB"/>
        </w:rPr>
        <w:t xml:space="preserve"> </w:t>
      </w:r>
      <w:r>
        <w:rPr>
          <w:lang w:val="en-GB"/>
        </w:rPr>
        <w:t xml:space="preserve">following </w:t>
      </w:r>
      <w:r w:rsidRPr="00AA489A">
        <w:rPr>
          <w:lang w:val="en-GB"/>
        </w:rPr>
        <w:t xml:space="preserve">input, dated 28 August 2005, is related to the </w:t>
      </w:r>
      <w:r>
        <w:rPr>
          <w:lang w:val="en-GB"/>
        </w:rPr>
        <w:t xml:space="preserve">above-mentioned additional </w:t>
      </w:r>
      <w:r w:rsidRPr="00AA489A">
        <w:rPr>
          <w:lang w:val="en-GB"/>
        </w:rPr>
        <w:t>victim</w:t>
      </w:r>
      <w:r>
        <w:rPr>
          <w:lang w:val="en-GB"/>
        </w:rPr>
        <w:t xml:space="preserve">, Mrs </w:t>
      </w:r>
      <w:proofErr w:type="spellStart"/>
      <w:r w:rsidRPr="00AA489A">
        <w:rPr>
          <w:lang w:val="en-GB"/>
        </w:rPr>
        <w:t>Dragica</w:t>
      </w:r>
      <w:proofErr w:type="spellEnd"/>
      <w:r w:rsidRPr="00AA489A">
        <w:rPr>
          <w:lang w:val="en-GB"/>
        </w:rPr>
        <w:t xml:space="preserve"> </w:t>
      </w:r>
      <w:proofErr w:type="spellStart"/>
      <w:r w:rsidRPr="00AA489A">
        <w:rPr>
          <w:lang w:val="en-GB"/>
        </w:rPr>
        <w:t>P</w:t>
      </w:r>
      <w:r>
        <w:rPr>
          <w:lang w:val="en-GB"/>
        </w:rPr>
        <w:t>etrićević</w:t>
      </w:r>
      <w:proofErr w:type="spellEnd"/>
      <w:r>
        <w:rPr>
          <w:lang w:val="en-GB"/>
        </w:rPr>
        <w:t xml:space="preserve">. It transpires from the text that Ms </w:t>
      </w:r>
      <w:proofErr w:type="spellStart"/>
      <w:r>
        <w:rPr>
          <w:lang w:val="en-GB"/>
        </w:rPr>
        <w:t>Rosanda</w:t>
      </w:r>
      <w:proofErr w:type="spellEnd"/>
      <w:r>
        <w:rPr>
          <w:lang w:val="en-GB"/>
        </w:rPr>
        <w:t xml:space="preserve"> </w:t>
      </w:r>
      <w:proofErr w:type="spellStart"/>
      <w:r>
        <w:rPr>
          <w:lang w:val="en-GB"/>
        </w:rPr>
        <w:t>Kabaš</w:t>
      </w:r>
      <w:proofErr w:type="spellEnd"/>
      <w:r>
        <w:rPr>
          <w:lang w:val="en-GB"/>
        </w:rPr>
        <w:t xml:space="preserve"> was a witness to her abduction. Another person, apparently an eye-witness, is also named.</w:t>
      </w:r>
    </w:p>
    <w:p w:rsidR="00E5360E" w:rsidRDefault="00AA489A" w:rsidP="00C5394C">
      <w:pPr>
        <w:pStyle w:val="ColorfulList-Accent11"/>
        <w:numPr>
          <w:ilvl w:val="0"/>
          <w:numId w:val="17"/>
        </w:numPr>
        <w:tabs>
          <w:tab w:val="num" w:pos="540"/>
        </w:tabs>
        <w:ind w:left="810" w:right="270" w:hanging="270"/>
        <w:jc w:val="both"/>
        <w:rPr>
          <w:lang w:val="en-GB"/>
        </w:rPr>
      </w:pPr>
      <w:proofErr w:type="gramStart"/>
      <w:r>
        <w:rPr>
          <w:lang w:val="en-GB"/>
        </w:rPr>
        <w:t>the</w:t>
      </w:r>
      <w:proofErr w:type="gramEnd"/>
      <w:r>
        <w:rPr>
          <w:lang w:val="en-GB"/>
        </w:rPr>
        <w:t xml:space="preserve"> </w:t>
      </w:r>
      <w:r w:rsidR="00E5360E">
        <w:rPr>
          <w:lang w:val="en-GB"/>
        </w:rPr>
        <w:t>last input</w:t>
      </w:r>
      <w:r>
        <w:rPr>
          <w:lang w:val="en-GB"/>
        </w:rPr>
        <w:t>,</w:t>
      </w:r>
      <w:r w:rsidR="00E5360E">
        <w:rPr>
          <w:lang w:val="en-GB"/>
        </w:rPr>
        <w:t xml:space="preserve"> </w:t>
      </w:r>
      <w:r>
        <w:rPr>
          <w:lang w:val="en-GB"/>
        </w:rPr>
        <w:t xml:space="preserve">dated </w:t>
      </w:r>
      <w:r w:rsidR="00E5360E">
        <w:rPr>
          <w:lang w:val="en-GB"/>
        </w:rPr>
        <w:t>30 August 2005</w:t>
      </w:r>
      <w:r>
        <w:rPr>
          <w:lang w:val="en-GB"/>
        </w:rPr>
        <w:t xml:space="preserve">, provides details of the abduction of Mr </w:t>
      </w:r>
      <w:proofErr w:type="spellStart"/>
      <w:r>
        <w:rPr>
          <w:lang w:val="en-GB"/>
        </w:rPr>
        <w:t>Milenko</w:t>
      </w:r>
      <w:proofErr w:type="spellEnd"/>
      <w:r>
        <w:rPr>
          <w:lang w:val="en-GB"/>
        </w:rPr>
        <w:t xml:space="preserve"> </w:t>
      </w:r>
      <w:proofErr w:type="spellStart"/>
      <w:r>
        <w:rPr>
          <w:lang w:val="en-GB"/>
        </w:rPr>
        <w:t>Kabaš</w:t>
      </w:r>
      <w:proofErr w:type="spellEnd"/>
      <w:r>
        <w:rPr>
          <w:lang w:val="en-GB"/>
        </w:rPr>
        <w:t>.</w:t>
      </w:r>
      <w:r w:rsidR="00E5360E">
        <w:rPr>
          <w:lang w:val="en-GB"/>
        </w:rPr>
        <w:t xml:space="preserve"> </w:t>
      </w:r>
    </w:p>
    <w:p w:rsidR="00E5360E" w:rsidRDefault="00E5360E" w:rsidP="00E5360E">
      <w:pPr>
        <w:pStyle w:val="ColorfulList-Accent11"/>
        <w:suppressAutoHyphens w:val="0"/>
        <w:ind w:left="360"/>
        <w:contextualSpacing/>
        <w:jc w:val="both"/>
        <w:rPr>
          <w:lang w:val="en-GB"/>
        </w:rPr>
      </w:pPr>
    </w:p>
    <w:bookmarkEnd w:id="48"/>
    <w:p w:rsidR="005362E3" w:rsidRDefault="005362E3" w:rsidP="00F35DD1">
      <w:pPr>
        <w:pStyle w:val="ColorfulList-Accent11"/>
        <w:numPr>
          <w:ilvl w:val="0"/>
          <w:numId w:val="2"/>
        </w:numPr>
        <w:tabs>
          <w:tab w:val="num" w:pos="450"/>
        </w:tabs>
        <w:suppressAutoHyphens w:val="0"/>
        <w:ind w:left="450" w:hanging="450"/>
        <w:contextualSpacing/>
        <w:jc w:val="both"/>
      </w:pPr>
      <w:r>
        <w:t xml:space="preserve">The same document contains a list of persons associated with the alleged crime, which includes two reporting parties (one of them being Ms </w:t>
      </w:r>
      <w:proofErr w:type="spellStart"/>
      <w:r>
        <w:t>Rosanda</w:t>
      </w:r>
      <w:proofErr w:type="spellEnd"/>
      <w:r>
        <w:t xml:space="preserve"> </w:t>
      </w:r>
      <w:proofErr w:type="spellStart"/>
      <w:r>
        <w:t>Kabaš</w:t>
      </w:r>
      <w:proofErr w:type="spellEnd"/>
      <w:r>
        <w:t>), three suspects (including F.D. and A.S.</w:t>
      </w:r>
      <w:r w:rsidR="00DF22D2">
        <w:t>)</w:t>
      </w:r>
      <w:r>
        <w:t xml:space="preserve">, eleven victims (including the relatives of the complainants in this case) and three witnesses (including Ms </w:t>
      </w:r>
      <w:proofErr w:type="spellStart"/>
      <w:r>
        <w:t>Rosanda</w:t>
      </w:r>
      <w:proofErr w:type="spellEnd"/>
      <w:r>
        <w:t xml:space="preserve"> </w:t>
      </w:r>
      <w:proofErr w:type="spellStart"/>
      <w:r>
        <w:t>Kabaš</w:t>
      </w:r>
      <w:proofErr w:type="spellEnd"/>
      <w:r>
        <w:t>).</w:t>
      </w:r>
    </w:p>
    <w:p w:rsidR="005362E3" w:rsidRPr="005362E3" w:rsidRDefault="005362E3" w:rsidP="005362E3">
      <w:pPr>
        <w:pStyle w:val="ColorfulList-Accent11"/>
        <w:suppressAutoHyphens w:val="0"/>
        <w:ind w:left="360"/>
        <w:contextualSpacing/>
        <w:jc w:val="both"/>
      </w:pPr>
    </w:p>
    <w:p w:rsidR="00AD7BED" w:rsidRDefault="00AD7BED" w:rsidP="00F35DD1">
      <w:pPr>
        <w:pStyle w:val="ColorfulList-Accent11"/>
        <w:numPr>
          <w:ilvl w:val="0"/>
          <w:numId w:val="2"/>
        </w:numPr>
        <w:tabs>
          <w:tab w:val="num" w:pos="450"/>
        </w:tabs>
        <w:suppressAutoHyphens w:val="0"/>
        <w:ind w:left="450" w:hanging="450"/>
        <w:contextualSpacing/>
        <w:jc w:val="both"/>
      </w:pPr>
      <w:r>
        <w:rPr>
          <w:lang w:val="en-GB"/>
        </w:rPr>
        <w:t>Attached to the above report is a CCIU case report in relation to their investigation no. 2002-00038, related to the above-referred killing of 12 people, where A.S. was also a suspect.</w:t>
      </w:r>
    </w:p>
    <w:p w:rsidR="008B479E" w:rsidRPr="008B479E" w:rsidRDefault="008B479E" w:rsidP="008B479E">
      <w:pPr>
        <w:pStyle w:val="ColorfulList-Accent11"/>
        <w:suppressAutoHyphens w:val="0"/>
        <w:ind w:left="360"/>
        <w:contextualSpacing/>
        <w:jc w:val="both"/>
      </w:pPr>
    </w:p>
    <w:p w:rsidR="008B479E" w:rsidRPr="000D0C3A" w:rsidRDefault="008B479E" w:rsidP="00F35DD1">
      <w:pPr>
        <w:pStyle w:val="ColorfulList-Accent11"/>
        <w:numPr>
          <w:ilvl w:val="0"/>
          <w:numId w:val="2"/>
        </w:numPr>
        <w:tabs>
          <w:tab w:val="num" w:pos="450"/>
        </w:tabs>
        <w:suppressAutoHyphens w:val="0"/>
        <w:ind w:left="450" w:hanging="450"/>
        <w:contextualSpacing/>
        <w:jc w:val="both"/>
      </w:pPr>
      <w:r>
        <w:rPr>
          <w:lang w:val="en-GB"/>
        </w:rPr>
        <w:t>Also in the file is an undated intelligence report on the suspect, A.S.; it has two hand-written case numbers on top of it: 2003/00005 and 2002/00038.</w:t>
      </w:r>
    </w:p>
    <w:p w:rsidR="009A6AAD" w:rsidRDefault="009A6AAD" w:rsidP="009A6AAD">
      <w:pPr>
        <w:pStyle w:val="ColorfulList-Accent11"/>
        <w:rPr>
          <w:lang w:val="en-GB"/>
        </w:rPr>
      </w:pPr>
    </w:p>
    <w:p w:rsidR="00AD7BED" w:rsidRPr="00A6180F" w:rsidRDefault="00AD7BED" w:rsidP="00F35DD1">
      <w:pPr>
        <w:pStyle w:val="ColorfulList-Accent11"/>
        <w:numPr>
          <w:ilvl w:val="0"/>
          <w:numId w:val="2"/>
        </w:numPr>
        <w:tabs>
          <w:tab w:val="num" w:pos="450"/>
        </w:tabs>
        <w:suppressAutoHyphens w:val="0"/>
        <w:ind w:left="450" w:hanging="450"/>
        <w:contextualSpacing/>
        <w:jc w:val="both"/>
        <w:rPr>
          <w:lang w:val="en-GB"/>
        </w:rPr>
      </w:pPr>
      <w:bookmarkStart w:id="51" w:name="_Ref404707385"/>
      <w:r w:rsidRPr="000D0C3A">
        <w:rPr>
          <w:lang w:val="en-GB"/>
        </w:rPr>
        <w:t xml:space="preserve">The file further contains </w:t>
      </w:r>
      <w:r>
        <w:rPr>
          <w:lang w:val="en-GB"/>
        </w:rPr>
        <w:t xml:space="preserve">an English translation of an undated criminal report against unknown perpetrators, addressed to the International Prosecutor at the </w:t>
      </w:r>
      <w:proofErr w:type="spellStart"/>
      <w:r>
        <w:rPr>
          <w:lang w:val="en-GB"/>
        </w:rPr>
        <w:t>Pe</w:t>
      </w:r>
      <w:proofErr w:type="spellEnd"/>
      <w:r>
        <w:t>j</w:t>
      </w:r>
      <w:r>
        <w:rPr>
          <w:lang w:val="ru-RU"/>
        </w:rPr>
        <w:t>ё</w:t>
      </w:r>
      <w:r>
        <w:t xml:space="preserve">/Peć DPPO, filed </w:t>
      </w:r>
      <w:r w:rsidRPr="00CA5624">
        <w:t xml:space="preserve">by R.N. in relation to the abduction and disappearance of Mr </w:t>
      </w:r>
      <w:proofErr w:type="spellStart"/>
      <w:r w:rsidRPr="00CA5624">
        <w:t>Nedeljko</w:t>
      </w:r>
      <w:proofErr w:type="spellEnd"/>
      <w:r w:rsidRPr="00CA5624">
        <w:t xml:space="preserve"> </w:t>
      </w:r>
      <w:proofErr w:type="spellStart"/>
      <w:r w:rsidRPr="00CA5624">
        <w:rPr>
          <w:lang w:val="en-GB"/>
        </w:rPr>
        <w:t>Šutaković</w:t>
      </w:r>
      <w:proofErr w:type="spellEnd"/>
      <w:r w:rsidRPr="00CA5624">
        <w:t xml:space="preserve"> and</w:t>
      </w:r>
      <w:r>
        <w:t xml:space="preserve"> his family. According to the note at the bottom of this document, it was translated on 28 August </w:t>
      </w:r>
      <w:r>
        <w:lastRenderedPageBreak/>
        <w:t xml:space="preserve">2005. It adds to the above account that Mr </w:t>
      </w:r>
      <w:proofErr w:type="spellStart"/>
      <w:r>
        <w:t>Nedeljko</w:t>
      </w:r>
      <w:proofErr w:type="spellEnd"/>
      <w:r>
        <w:t xml:space="preserve"> </w:t>
      </w:r>
      <w:proofErr w:type="spellStart"/>
      <w:r w:rsidRPr="004C708E">
        <w:rPr>
          <w:lang w:val="en-GB"/>
        </w:rPr>
        <w:t>Šutaković</w:t>
      </w:r>
      <w:proofErr w:type="spellEnd"/>
      <w:r>
        <w:t xml:space="preserve"> and his family were abducted by KLA members on the way to their apartment from the Serbian Orthodox Church, on 15 June 1999.</w:t>
      </w:r>
      <w:bookmarkEnd w:id="51"/>
    </w:p>
    <w:p w:rsidR="00AD7BED" w:rsidRPr="00AD7BED" w:rsidRDefault="00AD7BED" w:rsidP="00AD7BED">
      <w:pPr>
        <w:pStyle w:val="ColorfulList-Accent11"/>
        <w:suppressAutoHyphens w:val="0"/>
        <w:ind w:left="360"/>
        <w:contextualSpacing/>
        <w:jc w:val="both"/>
        <w:rPr>
          <w:lang w:val="en-GB"/>
        </w:rPr>
      </w:pPr>
    </w:p>
    <w:p w:rsidR="00AD7BED" w:rsidRPr="00A6180F" w:rsidRDefault="00AD7BED" w:rsidP="00ED60CA">
      <w:pPr>
        <w:pStyle w:val="ColorfulList-Accent11"/>
        <w:numPr>
          <w:ilvl w:val="0"/>
          <w:numId w:val="2"/>
        </w:numPr>
        <w:tabs>
          <w:tab w:val="num" w:pos="450"/>
        </w:tabs>
        <w:suppressAutoHyphens w:val="0"/>
        <w:ind w:left="450" w:hanging="450"/>
        <w:contextualSpacing/>
        <w:jc w:val="both"/>
        <w:rPr>
          <w:lang w:val="en-GB"/>
        </w:rPr>
      </w:pPr>
      <w:r>
        <w:t>The file also contains</w:t>
      </w:r>
      <w:r w:rsidRPr="00AD7BED">
        <w:rPr>
          <w:lang w:val="en-GB"/>
        </w:rPr>
        <w:t xml:space="preserve"> an English translation of an undated </w:t>
      </w:r>
      <w:r>
        <w:t xml:space="preserve">criminal report filed by Ms </w:t>
      </w:r>
      <w:proofErr w:type="spellStart"/>
      <w:r>
        <w:t>Rosanda</w:t>
      </w:r>
      <w:proofErr w:type="spellEnd"/>
      <w:r>
        <w:t xml:space="preserve"> </w:t>
      </w:r>
      <w:proofErr w:type="spellStart"/>
      <w:r>
        <w:t>Kabaš</w:t>
      </w:r>
      <w:proofErr w:type="spellEnd"/>
      <w:r>
        <w:t xml:space="preserve"> in relation to the abduction and disappearance of Mr </w:t>
      </w:r>
      <w:proofErr w:type="spellStart"/>
      <w:r>
        <w:t>Milenko</w:t>
      </w:r>
      <w:proofErr w:type="spellEnd"/>
      <w:r>
        <w:t xml:space="preserve"> </w:t>
      </w:r>
      <w:proofErr w:type="spellStart"/>
      <w:r>
        <w:t>Kabaš</w:t>
      </w:r>
      <w:proofErr w:type="spellEnd"/>
      <w:r>
        <w:t>. The translator’s note at the bottom of this document indicates that the document was created on 15 October 2005. It repeats the above account of his abduction and implicates F.D. in the commission of that crime.</w:t>
      </w:r>
    </w:p>
    <w:p w:rsidR="00AD7BED" w:rsidRPr="00AD7BED" w:rsidRDefault="00AD7BED" w:rsidP="00AD7BED">
      <w:pPr>
        <w:pStyle w:val="ColorfulList-Accent11"/>
        <w:suppressAutoHyphens w:val="0"/>
        <w:ind w:left="360"/>
        <w:contextualSpacing/>
        <w:jc w:val="both"/>
        <w:rPr>
          <w:lang w:val="en-GB"/>
        </w:rPr>
      </w:pPr>
    </w:p>
    <w:p w:rsidR="00AD7BED" w:rsidRDefault="00AD7BED" w:rsidP="00ED60CA">
      <w:pPr>
        <w:pStyle w:val="ColorfulList-Accent11"/>
        <w:numPr>
          <w:ilvl w:val="0"/>
          <w:numId w:val="2"/>
        </w:numPr>
        <w:tabs>
          <w:tab w:val="num" w:pos="450"/>
        </w:tabs>
        <w:suppressAutoHyphens w:val="0"/>
        <w:ind w:left="450" w:hanging="450"/>
        <w:contextualSpacing/>
        <w:jc w:val="both"/>
        <w:rPr>
          <w:lang w:val="en-GB"/>
        </w:rPr>
      </w:pPr>
      <w:bookmarkStart w:id="52" w:name="_Ref404607390"/>
      <w:r w:rsidRPr="00AD7BED">
        <w:rPr>
          <w:lang w:val="en-GB"/>
        </w:rPr>
        <w:t xml:space="preserve">The file contains another translated criminal report against unknown perpetrators, addressed to the </w:t>
      </w:r>
      <w:r w:rsidRPr="00ED60CA">
        <w:t>International</w:t>
      </w:r>
      <w:r w:rsidRPr="00AD7BED">
        <w:rPr>
          <w:lang w:val="en-GB"/>
        </w:rPr>
        <w:t xml:space="preserve"> Prosecutor</w:t>
      </w:r>
      <w:r w:rsidRPr="00AD7BED">
        <w:t xml:space="preserve"> </w:t>
      </w:r>
      <w:r>
        <w:t xml:space="preserve">in </w:t>
      </w:r>
      <w:r w:rsidRPr="008D52F2">
        <w:t xml:space="preserve">relation to the disappearance and killing of Mrs </w:t>
      </w:r>
      <w:proofErr w:type="spellStart"/>
      <w:r w:rsidRPr="008D52F2">
        <w:t>Dragica</w:t>
      </w:r>
      <w:proofErr w:type="spellEnd"/>
      <w:r w:rsidRPr="008D52F2">
        <w:rPr>
          <w:lang w:val="en-GB"/>
        </w:rPr>
        <w:t xml:space="preserve"> </w:t>
      </w:r>
      <w:proofErr w:type="spellStart"/>
      <w:r w:rsidRPr="008D52F2">
        <w:rPr>
          <w:lang w:val="en-GB"/>
        </w:rPr>
        <w:t>Petrićević</w:t>
      </w:r>
      <w:proofErr w:type="spellEnd"/>
      <w:r w:rsidRPr="008D52F2">
        <w:rPr>
          <w:lang w:val="en-GB"/>
        </w:rPr>
        <w:t xml:space="preserve"> at the </w:t>
      </w:r>
      <w:proofErr w:type="spellStart"/>
      <w:r w:rsidRPr="008D52F2">
        <w:rPr>
          <w:lang w:val="en-GB"/>
        </w:rPr>
        <w:t>Pe</w:t>
      </w:r>
      <w:proofErr w:type="spellEnd"/>
      <w:r w:rsidRPr="008D52F2">
        <w:t>j</w:t>
      </w:r>
      <w:r w:rsidRPr="008D52F2">
        <w:rPr>
          <w:lang w:val="ru-RU"/>
        </w:rPr>
        <w:t>ё</w:t>
      </w:r>
      <w:r w:rsidRPr="008D52F2">
        <w:t xml:space="preserve">/Peć DPPO, filed by </w:t>
      </w:r>
      <w:r w:rsidR="008D52F2" w:rsidRPr="008D52F2">
        <w:t>M</w:t>
      </w:r>
      <w:r w:rsidRPr="008D52F2">
        <w:t>.P. on an unknown</w:t>
      </w:r>
      <w:r>
        <w:t xml:space="preserve"> date</w:t>
      </w:r>
      <w:r w:rsidRPr="00AD7BED">
        <w:rPr>
          <w:lang w:val="en-GB"/>
        </w:rPr>
        <w:t xml:space="preserve">. It mentions Ms </w:t>
      </w:r>
      <w:proofErr w:type="spellStart"/>
      <w:r w:rsidRPr="00AD7BED">
        <w:rPr>
          <w:lang w:val="en-GB"/>
        </w:rPr>
        <w:t>Rosanda</w:t>
      </w:r>
      <w:proofErr w:type="spellEnd"/>
      <w:r w:rsidRPr="00AD7BED">
        <w:rPr>
          <w:lang w:val="en-GB"/>
        </w:rPr>
        <w:t xml:space="preserve"> </w:t>
      </w:r>
      <w:proofErr w:type="spellStart"/>
      <w:r w:rsidRPr="00AD7BED">
        <w:rPr>
          <w:lang w:val="en-GB"/>
        </w:rPr>
        <w:t>Kabaš</w:t>
      </w:r>
      <w:proofErr w:type="spellEnd"/>
      <w:r w:rsidRPr="00AD7BED">
        <w:rPr>
          <w:lang w:val="en-GB"/>
        </w:rPr>
        <w:t>, and two other persons as witnesses.</w:t>
      </w:r>
      <w:bookmarkEnd w:id="52"/>
    </w:p>
    <w:p w:rsidR="00625079" w:rsidRDefault="00625079" w:rsidP="00625079">
      <w:pPr>
        <w:pStyle w:val="ColorfulList-Accent11"/>
        <w:suppressAutoHyphens w:val="0"/>
        <w:ind w:left="450"/>
        <w:contextualSpacing/>
        <w:jc w:val="both"/>
        <w:rPr>
          <w:lang w:val="en-GB"/>
        </w:rPr>
      </w:pPr>
    </w:p>
    <w:p w:rsidR="00653994" w:rsidRDefault="00DF22D2" w:rsidP="00653994">
      <w:pPr>
        <w:pStyle w:val="ColorfulList-Accent11"/>
        <w:numPr>
          <w:ilvl w:val="0"/>
          <w:numId w:val="2"/>
        </w:numPr>
        <w:tabs>
          <w:tab w:val="num" w:pos="450"/>
        </w:tabs>
        <w:suppressAutoHyphens w:val="0"/>
        <w:ind w:left="450" w:hanging="450"/>
        <w:contextualSpacing/>
        <w:jc w:val="both"/>
        <w:rPr>
          <w:lang w:val="en-GB"/>
        </w:rPr>
      </w:pPr>
      <w:bookmarkStart w:id="53" w:name="_Ref404765020"/>
      <w:r>
        <w:rPr>
          <w:lang w:val="en-GB"/>
        </w:rPr>
        <w:t>Also</w:t>
      </w:r>
      <w:r w:rsidR="00625079">
        <w:rPr>
          <w:lang w:val="en-GB"/>
        </w:rPr>
        <w:t xml:space="preserve"> in the file is </w:t>
      </w:r>
      <w:r w:rsidR="003A2132">
        <w:rPr>
          <w:lang w:val="en-GB"/>
        </w:rPr>
        <w:t xml:space="preserve">a </w:t>
      </w:r>
      <w:r w:rsidR="00E366DC">
        <w:rPr>
          <w:lang w:val="en-GB"/>
        </w:rPr>
        <w:t>Ruling to Dismiss the Criminal Report</w:t>
      </w:r>
      <w:r w:rsidR="003A2132">
        <w:rPr>
          <w:lang w:val="en-GB"/>
        </w:rPr>
        <w:t>, dated</w:t>
      </w:r>
      <w:r w:rsidR="00ED60CA">
        <w:rPr>
          <w:lang w:val="en-GB"/>
        </w:rPr>
        <w:t xml:space="preserve"> 20 July 2009, </w:t>
      </w:r>
      <w:r w:rsidR="00241FF9">
        <w:rPr>
          <w:lang w:val="en-GB"/>
        </w:rPr>
        <w:t xml:space="preserve">no. PPS.186/09, </w:t>
      </w:r>
      <w:r w:rsidR="003A2132">
        <w:rPr>
          <w:lang w:val="en-GB"/>
        </w:rPr>
        <w:t xml:space="preserve">by which </w:t>
      </w:r>
      <w:r w:rsidR="00ED60CA">
        <w:rPr>
          <w:lang w:val="en-GB"/>
        </w:rPr>
        <w:t xml:space="preserve">an International Prosecutor of the </w:t>
      </w:r>
      <w:r w:rsidR="00215AAA" w:rsidRPr="00DF22D2">
        <w:rPr>
          <w:color w:val="000000" w:themeColor="text1"/>
          <w:lang w:val="en-GB"/>
        </w:rPr>
        <w:t>SPRK</w:t>
      </w:r>
      <w:r w:rsidR="003A2132" w:rsidRPr="00215AAA">
        <w:rPr>
          <w:color w:val="FF0000"/>
          <w:lang w:val="en-GB"/>
        </w:rPr>
        <w:t xml:space="preserve"> </w:t>
      </w:r>
      <w:r w:rsidR="003A2132">
        <w:rPr>
          <w:lang w:val="en-GB"/>
        </w:rPr>
        <w:t xml:space="preserve">dismissed the police </w:t>
      </w:r>
      <w:proofErr w:type="gramStart"/>
      <w:r w:rsidR="003A2132">
        <w:rPr>
          <w:lang w:val="en-GB"/>
        </w:rPr>
        <w:t>criminal</w:t>
      </w:r>
      <w:proofErr w:type="gramEnd"/>
      <w:r w:rsidR="003A2132">
        <w:rPr>
          <w:lang w:val="en-GB"/>
        </w:rPr>
        <w:t xml:space="preserve"> reports in the cases nos 2003-00005, 2003-00006 and 2003-00007.</w:t>
      </w:r>
      <w:r w:rsidR="00653994" w:rsidRPr="00653994">
        <w:rPr>
          <w:lang w:val="en-GB"/>
        </w:rPr>
        <w:t xml:space="preserve"> </w:t>
      </w:r>
      <w:r w:rsidR="00653994">
        <w:rPr>
          <w:lang w:val="en-GB"/>
        </w:rPr>
        <w:t>However, these police criminal reports are not in the file</w:t>
      </w:r>
      <w:r w:rsidR="0073541B">
        <w:rPr>
          <w:lang w:val="en-GB"/>
        </w:rPr>
        <w:t>; there is neither a stamp nor a prosecutor’s signature on this Ruling.</w:t>
      </w:r>
      <w:bookmarkEnd w:id="53"/>
    </w:p>
    <w:p w:rsidR="00B70E2D" w:rsidRDefault="00B70E2D" w:rsidP="00B70E2D">
      <w:pPr>
        <w:pStyle w:val="ColorfulList-Accent11"/>
        <w:suppressAutoHyphens w:val="0"/>
        <w:ind w:left="450"/>
        <w:contextualSpacing/>
        <w:jc w:val="both"/>
        <w:rPr>
          <w:lang w:val="en-GB"/>
        </w:rPr>
      </w:pPr>
    </w:p>
    <w:p w:rsidR="00ED60CA" w:rsidRDefault="00B70E2D" w:rsidP="00ED60CA">
      <w:pPr>
        <w:pStyle w:val="ColorfulList-Accent11"/>
        <w:numPr>
          <w:ilvl w:val="0"/>
          <w:numId w:val="2"/>
        </w:numPr>
        <w:tabs>
          <w:tab w:val="num" w:pos="450"/>
        </w:tabs>
        <w:suppressAutoHyphens w:val="0"/>
        <w:ind w:left="450" w:hanging="450"/>
        <w:contextualSpacing/>
        <w:jc w:val="both"/>
        <w:rPr>
          <w:lang w:val="en-GB"/>
        </w:rPr>
      </w:pPr>
      <w:r>
        <w:rPr>
          <w:lang w:val="en-GB"/>
        </w:rPr>
        <w:t>This Ruling provides very brief details of the allegations in the cases nos 2003-00005  (abduction of a number of Serbian families from one building in</w:t>
      </w:r>
      <w:r w:rsidRPr="00B70E2D">
        <w:t xml:space="preserve"> </w:t>
      </w:r>
      <w:proofErr w:type="spellStart"/>
      <w:r w:rsidRPr="00962637">
        <w:t>Gjakovë</w:t>
      </w:r>
      <w:proofErr w:type="spellEnd"/>
      <w:r w:rsidRPr="00962637">
        <w:rPr>
          <w:lang w:val="es-ES_tradnl"/>
        </w:rPr>
        <w:t>/</w:t>
      </w:r>
      <w:proofErr w:type="spellStart"/>
      <w:r w:rsidRPr="00962637">
        <w:t>Đakovica</w:t>
      </w:r>
      <w:proofErr w:type="spellEnd"/>
      <w:r>
        <w:rPr>
          <w:lang w:val="en-GB"/>
        </w:rPr>
        <w:t xml:space="preserve">, one of them, Mrs </w:t>
      </w:r>
      <w:proofErr w:type="spellStart"/>
      <w:r>
        <w:rPr>
          <w:lang w:val="en-GB"/>
        </w:rPr>
        <w:t>Dragica</w:t>
      </w:r>
      <w:proofErr w:type="spellEnd"/>
      <w:r>
        <w:rPr>
          <w:lang w:val="en-GB"/>
        </w:rPr>
        <w:t xml:space="preserve"> </w:t>
      </w:r>
      <w:proofErr w:type="spellStart"/>
      <w:r>
        <w:rPr>
          <w:lang w:val="en-GB"/>
        </w:rPr>
        <w:t>Petrićević</w:t>
      </w:r>
      <w:proofErr w:type="spellEnd"/>
      <w:r>
        <w:rPr>
          <w:lang w:val="en-GB"/>
        </w:rPr>
        <w:t xml:space="preserve">, was later found dead), 2003-00006 (abduction of Mr and Mrs </w:t>
      </w:r>
      <w:proofErr w:type="spellStart"/>
      <w:r>
        <w:rPr>
          <w:lang w:val="en-GB"/>
        </w:rPr>
        <w:t>Petrović</w:t>
      </w:r>
      <w:proofErr w:type="spellEnd"/>
      <w:r>
        <w:rPr>
          <w:lang w:val="en-GB"/>
        </w:rPr>
        <w:t xml:space="preserve"> by four KLA members) and 2003-00007 (abduction of</w:t>
      </w:r>
      <w:r w:rsidR="00DF22D2">
        <w:rPr>
          <w:lang w:val="en-GB"/>
        </w:rPr>
        <w:t xml:space="preserve"> Mr</w:t>
      </w:r>
      <w:r>
        <w:rPr>
          <w:lang w:val="en-GB"/>
        </w:rPr>
        <w:t xml:space="preserve"> </w:t>
      </w:r>
      <w:proofErr w:type="spellStart"/>
      <w:r>
        <w:rPr>
          <w:lang w:val="en-GB"/>
        </w:rPr>
        <w:t>Milenko</w:t>
      </w:r>
      <w:proofErr w:type="spellEnd"/>
      <w:r>
        <w:rPr>
          <w:lang w:val="en-GB"/>
        </w:rPr>
        <w:t xml:space="preserve"> </w:t>
      </w:r>
      <w:proofErr w:type="spellStart"/>
      <w:r>
        <w:rPr>
          <w:lang w:val="en-GB"/>
        </w:rPr>
        <w:t>Kabaš</w:t>
      </w:r>
      <w:proofErr w:type="spellEnd"/>
      <w:r>
        <w:rPr>
          <w:lang w:val="en-GB"/>
        </w:rPr>
        <w:t xml:space="preserve"> and </w:t>
      </w:r>
      <w:r w:rsidR="00DF22D2">
        <w:rPr>
          <w:lang w:val="en-GB"/>
        </w:rPr>
        <w:t xml:space="preserve">Mrs </w:t>
      </w:r>
      <w:proofErr w:type="spellStart"/>
      <w:r>
        <w:rPr>
          <w:lang w:val="en-GB"/>
        </w:rPr>
        <w:t>Dragica</w:t>
      </w:r>
      <w:proofErr w:type="spellEnd"/>
      <w:r>
        <w:rPr>
          <w:lang w:val="en-GB"/>
        </w:rPr>
        <w:t xml:space="preserve"> </w:t>
      </w:r>
      <w:proofErr w:type="spellStart"/>
      <w:r>
        <w:rPr>
          <w:lang w:val="en-GB"/>
        </w:rPr>
        <w:t>Petrićević</w:t>
      </w:r>
      <w:proofErr w:type="spellEnd"/>
      <w:r>
        <w:rPr>
          <w:lang w:val="en-GB"/>
        </w:rPr>
        <w:t>). It further states that in all three cases the suspects are the same. It adds that the above information was “based on the statements of the following witnesses”, but no witnesses are listed. Likewise, the fi</w:t>
      </w:r>
      <w:r w:rsidR="00625079">
        <w:rPr>
          <w:lang w:val="en-GB"/>
        </w:rPr>
        <w:t>el</w:t>
      </w:r>
      <w:r>
        <w:rPr>
          <w:lang w:val="en-GB"/>
        </w:rPr>
        <w:t>d “suspect” is blank.</w:t>
      </w:r>
    </w:p>
    <w:p w:rsidR="00653994" w:rsidRPr="00653994" w:rsidRDefault="00653994" w:rsidP="00653994">
      <w:pPr>
        <w:pStyle w:val="ColorfulList-Accent11"/>
        <w:rPr>
          <w:lang w:val="en-GB"/>
        </w:rPr>
      </w:pPr>
    </w:p>
    <w:p w:rsidR="00653994" w:rsidRDefault="00653994" w:rsidP="00653994">
      <w:pPr>
        <w:pStyle w:val="ColorfulList-Accent11"/>
        <w:numPr>
          <w:ilvl w:val="0"/>
          <w:numId w:val="2"/>
        </w:numPr>
        <w:tabs>
          <w:tab w:val="num" w:pos="450"/>
        </w:tabs>
        <w:suppressAutoHyphens w:val="0"/>
        <w:ind w:left="450" w:hanging="450"/>
        <w:contextualSpacing/>
        <w:jc w:val="both"/>
        <w:rPr>
          <w:lang w:val="en-GB"/>
        </w:rPr>
      </w:pPr>
      <w:bookmarkStart w:id="54" w:name="_Ref404765477"/>
      <w:r>
        <w:rPr>
          <w:lang w:val="en-GB"/>
        </w:rPr>
        <w:t xml:space="preserve">The Ruling qualifies the alleged crimes as </w:t>
      </w:r>
      <w:r w:rsidR="001400F6">
        <w:rPr>
          <w:lang w:val="en-GB"/>
        </w:rPr>
        <w:t>follows:</w:t>
      </w:r>
      <w:bookmarkEnd w:id="54"/>
    </w:p>
    <w:p w:rsidR="001400F6" w:rsidRPr="00653994" w:rsidRDefault="001400F6" w:rsidP="001400F6">
      <w:pPr>
        <w:pStyle w:val="ColorfulList-Accent11"/>
        <w:suppressAutoHyphens w:val="0"/>
        <w:ind w:left="450"/>
        <w:contextualSpacing/>
        <w:jc w:val="both"/>
        <w:rPr>
          <w:lang w:val="en-GB"/>
        </w:rPr>
      </w:pPr>
    </w:p>
    <w:p w:rsidR="001400F6" w:rsidRDefault="001400F6" w:rsidP="00C5394C">
      <w:pPr>
        <w:spacing w:after="120"/>
        <w:ind w:left="634" w:right="270"/>
        <w:contextualSpacing/>
        <w:jc w:val="both"/>
        <w:rPr>
          <w:lang w:val="en-GB"/>
        </w:rPr>
      </w:pPr>
      <w:r>
        <w:rPr>
          <w:lang w:val="en-GB"/>
        </w:rPr>
        <w:t xml:space="preserve">“- </w:t>
      </w:r>
      <w:r w:rsidR="00653994" w:rsidRPr="001400F6">
        <w:rPr>
          <w:lang w:val="en-GB"/>
        </w:rPr>
        <w:t xml:space="preserve">On June 1999, in </w:t>
      </w:r>
      <w:proofErr w:type="spellStart"/>
      <w:r w:rsidR="00653994" w:rsidRPr="001400F6">
        <w:rPr>
          <w:lang w:val="en-GB"/>
        </w:rPr>
        <w:t>Djakovica</w:t>
      </w:r>
      <w:proofErr w:type="spellEnd"/>
      <w:r w:rsidR="00653994" w:rsidRPr="001400F6">
        <w:rPr>
          <w:lang w:val="en-GB"/>
        </w:rPr>
        <w:t xml:space="preserve">, war crime against civilian population, </w:t>
      </w:r>
      <w:proofErr w:type="spellStart"/>
      <w:r w:rsidR="00653994" w:rsidRPr="001400F6">
        <w:rPr>
          <w:lang w:val="en-GB"/>
        </w:rPr>
        <w:t>willful</w:t>
      </w:r>
      <w:proofErr w:type="spellEnd"/>
      <w:r w:rsidR="00653994" w:rsidRPr="001400F6">
        <w:rPr>
          <w:lang w:val="en-GB"/>
        </w:rPr>
        <w:t xml:space="preserve"> killing in </w:t>
      </w:r>
    </w:p>
    <w:p w:rsidR="006A3DDA" w:rsidRDefault="001400F6" w:rsidP="00C5394C">
      <w:pPr>
        <w:ind w:left="634" w:right="270"/>
        <w:contextualSpacing/>
        <w:jc w:val="both"/>
        <w:rPr>
          <w:lang w:val="en-GB"/>
        </w:rPr>
      </w:pPr>
      <w:r>
        <w:rPr>
          <w:lang w:val="en-GB"/>
        </w:rPr>
        <w:t xml:space="preserve">    </w:t>
      </w:r>
      <w:proofErr w:type="gramStart"/>
      <w:r w:rsidR="00653994" w:rsidRPr="001400F6">
        <w:rPr>
          <w:lang w:val="en-GB"/>
        </w:rPr>
        <w:t>violation</w:t>
      </w:r>
      <w:proofErr w:type="gramEnd"/>
      <w:r w:rsidR="00653994" w:rsidRPr="001400F6">
        <w:rPr>
          <w:lang w:val="en-GB"/>
        </w:rPr>
        <w:t xml:space="preserve"> of article 142 CCSFRY, 120-121 PCCK punishable up to 10 years</w:t>
      </w:r>
    </w:p>
    <w:p w:rsidR="001400F6" w:rsidRDefault="001400F6" w:rsidP="00C5394C">
      <w:pPr>
        <w:ind w:left="634" w:right="270"/>
        <w:contextualSpacing/>
        <w:jc w:val="both"/>
        <w:rPr>
          <w:lang w:val="en-GB"/>
        </w:rPr>
      </w:pPr>
      <w:r>
        <w:rPr>
          <w:lang w:val="en-GB"/>
        </w:rPr>
        <w:t xml:space="preserve">    </w:t>
      </w:r>
      <w:proofErr w:type="gramStart"/>
      <w:r w:rsidR="00653994" w:rsidRPr="001400F6">
        <w:rPr>
          <w:lang w:val="en-GB"/>
        </w:rPr>
        <w:t>imprisonment</w:t>
      </w:r>
      <w:proofErr w:type="gramEnd"/>
      <w:r>
        <w:rPr>
          <w:rStyle w:val="FootnoteReference"/>
          <w:lang w:val="en-GB"/>
        </w:rPr>
        <w:footnoteReference w:id="19"/>
      </w:r>
      <w:r w:rsidR="00653994" w:rsidRPr="001400F6">
        <w:rPr>
          <w:lang w:val="en-GB"/>
        </w:rPr>
        <w:t>,</w:t>
      </w:r>
    </w:p>
    <w:p w:rsidR="001400F6" w:rsidRDefault="001400F6" w:rsidP="00C5394C">
      <w:pPr>
        <w:ind w:left="634" w:right="270"/>
        <w:contextualSpacing/>
        <w:jc w:val="both"/>
        <w:rPr>
          <w:lang w:val="en-GB"/>
        </w:rPr>
      </w:pPr>
      <w:r>
        <w:rPr>
          <w:lang w:val="en-GB"/>
        </w:rPr>
        <w:t xml:space="preserve"> - </w:t>
      </w:r>
      <w:r w:rsidR="00653994" w:rsidRPr="001400F6">
        <w:rPr>
          <w:lang w:val="en-GB"/>
        </w:rPr>
        <w:t xml:space="preserve">On June 1999, in </w:t>
      </w:r>
      <w:proofErr w:type="spellStart"/>
      <w:r w:rsidR="00653994" w:rsidRPr="001400F6">
        <w:rPr>
          <w:lang w:val="en-GB"/>
        </w:rPr>
        <w:t>Djakova</w:t>
      </w:r>
      <w:proofErr w:type="spellEnd"/>
      <w:r w:rsidR="00653994" w:rsidRPr="001400F6">
        <w:rPr>
          <w:lang w:val="en-GB"/>
        </w:rPr>
        <w:t>, Murder in violation of article 30 CLK,</w:t>
      </w:r>
      <w:r>
        <w:rPr>
          <w:lang w:val="en-GB"/>
        </w:rPr>
        <w:t xml:space="preserve"> </w:t>
      </w:r>
      <w:r w:rsidR="00653994" w:rsidRPr="001400F6">
        <w:rPr>
          <w:lang w:val="en-GB"/>
        </w:rPr>
        <w:t>146 PCCK</w:t>
      </w:r>
    </w:p>
    <w:p w:rsidR="00653994" w:rsidRPr="001400F6" w:rsidRDefault="001400F6" w:rsidP="00C5394C">
      <w:pPr>
        <w:ind w:left="634" w:right="270"/>
        <w:contextualSpacing/>
        <w:jc w:val="both"/>
        <w:rPr>
          <w:lang w:val="en-GB"/>
        </w:rPr>
      </w:pPr>
      <w:r>
        <w:rPr>
          <w:lang w:val="en-GB"/>
        </w:rPr>
        <w:t xml:space="preserve">   </w:t>
      </w:r>
      <w:r w:rsidR="008D52F2">
        <w:rPr>
          <w:lang w:val="en-GB"/>
        </w:rPr>
        <w:t xml:space="preserve"> </w:t>
      </w:r>
      <w:proofErr w:type="gramStart"/>
      <w:r w:rsidR="00653994" w:rsidRPr="001400F6">
        <w:rPr>
          <w:lang w:val="en-GB"/>
        </w:rPr>
        <w:t>punishable</w:t>
      </w:r>
      <w:proofErr w:type="gramEnd"/>
      <w:r w:rsidR="00653994" w:rsidRPr="001400F6">
        <w:rPr>
          <w:lang w:val="en-GB"/>
        </w:rPr>
        <w:t xml:space="preserve"> up to 5 years imprisonment</w:t>
      </w:r>
      <w:r>
        <w:rPr>
          <w:rStyle w:val="FootnoteReference"/>
          <w:lang w:val="en-GB"/>
        </w:rPr>
        <w:footnoteReference w:id="20"/>
      </w:r>
      <w:r w:rsidR="00653994" w:rsidRPr="001400F6">
        <w:rPr>
          <w:lang w:val="en-GB"/>
        </w:rPr>
        <w:t>.</w:t>
      </w:r>
      <w:r w:rsidR="0023644A">
        <w:rPr>
          <w:lang w:val="en-GB"/>
        </w:rPr>
        <w:t>”</w:t>
      </w:r>
    </w:p>
    <w:p w:rsidR="00B70E2D" w:rsidRPr="00B70E2D" w:rsidRDefault="00B70E2D" w:rsidP="00B70E2D">
      <w:pPr>
        <w:pStyle w:val="ColorfulList-Accent11"/>
        <w:rPr>
          <w:lang w:val="en-GB"/>
        </w:rPr>
      </w:pPr>
    </w:p>
    <w:p w:rsidR="00653994" w:rsidRDefault="00653994" w:rsidP="00ED60CA">
      <w:pPr>
        <w:pStyle w:val="ColorfulList-Accent11"/>
        <w:numPr>
          <w:ilvl w:val="0"/>
          <w:numId w:val="2"/>
        </w:numPr>
        <w:tabs>
          <w:tab w:val="num" w:pos="450"/>
        </w:tabs>
        <w:suppressAutoHyphens w:val="0"/>
        <w:ind w:left="450" w:hanging="450"/>
        <w:contextualSpacing/>
        <w:jc w:val="both"/>
        <w:rPr>
          <w:lang w:val="en-GB"/>
        </w:rPr>
      </w:pPr>
      <w:r>
        <w:rPr>
          <w:lang w:val="en-GB"/>
        </w:rPr>
        <w:t>The SPRK prosecutor concluded that “[i]</w:t>
      </w:r>
      <w:r w:rsidR="00B70E2D">
        <w:rPr>
          <w:lang w:val="en-GB"/>
        </w:rPr>
        <w:t xml:space="preserve">it is evident from the criminal report that there is no reasonable suspicion that the suspect committed the indicated criminal </w:t>
      </w:r>
      <w:r>
        <w:rPr>
          <w:lang w:val="en-GB"/>
        </w:rPr>
        <w:t xml:space="preserve">offence. In addition, the Prosecutor believes that it is not reasonably likely that further investigation by </w:t>
      </w:r>
      <w:r>
        <w:rPr>
          <w:lang w:val="en-GB"/>
        </w:rPr>
        <w:lastRenderedPageBreak/>
        <w:t xml:space="preserve">the police may provide sufficient information. Moreover, this case is included in the case 2002-00038.” Therefore, the criminal reports were dismissed. </w:t>
      </w:r>
    </w:p>
    <w:p w:rsidR="00653994" w:rsidRPr="00653994" w:rsidRDefault="00653994" w:rsidP="00653994">
      <w:pPr>
        <w:pStyle w:val="ColorfulList-Accent11"/>
        <w:rPr>
          <w:lang w:val="en-GB"/>
        </w:rPr>
      </w:pPr>
    </w:p>
    <w:p w:rsidR="00B70E2D" w:rsidRDefault="00DF22D2" w:rsidP="00ED60CA">
      <w:pPr>
        <w:pStyle w:val="ColorfulList-Accent11"/>
        <w:numPr>
          <w:ilvl w:val="0"/>
          <w:numId w:val="2"/>
        </w:numPr>
        <w:tabs>
          <w:tab w:val="num" w:pos="450"/>
        </w:tabs>
        <w:suppressAutoHyphens w:val="0"/>
        <w:ind w:left="450" w:hanging="450"/>
        <w:contextualSpacing/>
        <w:jc w:val="both"/>
        <w:rPr>
          <w:lang w:val="en-GB"/>
        </w:rPr>
      </w:pPr>
      <w:bookmarkStart w:id="55" w:name="_Ref404765029"/>
      <w:r>
        <w:rPr>
          <w:lang w:val="en-GB"/>
        </w:rPr>
        <w:t>Also</w:t>
      </w:r>
      <w:r w:rsidR="00653994">
        <w:rPr>
          <w:lang w:val="en-GB"/>
        </w:rPr>
        <w:t xml:space="preserve"> in the file is a Notice of Dismissal of Criminal Report, also dated 20 July 2009, addressed to the Head of the EULEX WCIU; it is not signed.</w:t>
      </w:r>
      <w:bookmarkEnd w:id="55"/>
    </w:p>
    <w:p w:rsidR="00241FF9" w:rsidRDefault="00241FF9" w:rsidP="00241FF9">
      <w:pPr>
        <w:pStyle w:val="ColorfulList-Accent11"/>
        <w:suppressAutoHyphens w:val="0"/>
        <w:ind w:left="450"/>
        <w:contextualSpacing/>
        <w:jc w:val="both"/>
        <w:rPr>
          <w:lang w:val="en-GB"/>
        </w:rPr>
      </w:pPr>
    </w:p>
    <w:p w:rsidR="00241FF9" w:rsidRPr="00241FF9" w:rsidRDefault="00241FF9" w:rsidP="00241FF9">
      <w:pPr>
        <w:pStyle w:val="ColorfulList-Accent11"/>
        <w:numPr>
          <w:ilvl w:val="0"/>
          <w:numId w:val="2"/>
        </w:numPr>
        <w:tabs>
          <w:tab w:val="num" w:pos="450"/>
        </w:tabs>
        <w:suppressAutoHyphens w:val="0"/>
        <w:ind w:left="450" w:hanging="450"/>
        <w:contextualSpacing/>
        <w:jc w:val="both"/>
        <w:rPr>
          <w:lang w:val="en-GB"/>
        </w:rPr>
      </w:pPr>
      <w:r w:rsidRPr="00241FF9">
        <w:rPr>
          <w:lang w:val="en-GB"/>
        </w:rPr>
        <w:t xml:space="preserve">The EULEX </w:t>
      </w:r>
      <w:r>
        <w:rPr>
          <w:lang w:val="en-GB"/>
        </w:rPr>
        <w:t>WCIU C</w:t>
      </w:r>
      <w:r w:rsidRPr="00241FF9">
        <w:rPr>
          <w:lang w:val="en-GB"/>
        </w:rPr>
        <w:t xml:space="preserve">ase </w:t>
      </w:r>
      <w:r>
        <w:rPr>
          <w:lang w:val="en-GB"/>
        </w:rPr>
        <w:t>A</w:t>
      </w:r>
      <w:r w:rsidRPr="00241FF9">
        <w:rPr>
          <w:lang w:val="en-GB"/>
        </w:rPr>
        <w:t xml:space="preserve">nalysis </w:t>
      </w:r>
      <w:r>
        <w:rPr>
          <w:lang w:val="en-GB"/>
        </w:rPr>
        <w:t>R</w:t>
      </w:r>
      <w:r w:rsidRPr="00241FF9">
        <w:rPr>
          <w:lang w:val="en-GB"/>
        </w:rPr>
        <w:t>eport, dated 19 September 2011,</w:t>
      </w:r>
      <w:r>
        <w:rPr>
          <w:lang w:val="en-GB"/>
        </w:rPr>
        <w:t xml:space="preserve"> </w:t>
      </w:r>
      <w:r w:rsidRPr="00241FF9">
        <w:rPr>
          <w:lang w:val="en-GB"/>
        </w:rPr>
        <w:t>confirms that the cases nos 2003-00005, 2003-00006 and 2003-00007, which “</w:t>
      </w:r>
      <w:r>
        <w:t>examine the same incident”</w:t>
      </w:r>
      <w:r w:rsidR="00DD3BB5">
        <w:t>,</w:t>
      </w:r>
      <w:r w:rsidRPr="00241FF9">
        <w:rPr>
          <w:lang w:val="en-GB"/>
        </w:rPr>
        <w:t xml:space="preserve"> had in fact been dismissed by an </w:t>
      </w:r>
      <w:r>
        <w:t>SPRK prosecutor on 20 Jul 2009 “because there was no reasonable suspicion against the suspects. Also note that the cases lie outside of the war crimes timeframe</w:t>
      </w:r>
      <w:r w:rsidRPr="00241FF9">
        <w:rPr>
          <w:lang w:val="en-GB"/>
        </w:rPr>
        <w:t>.”</w:t>
      </w:r>
    </w:p>
    <w:bookmarkEnd w:id="45"/>
    <w:bookmarkEnd w:id="46"/>
    <w:bookmarkEnd w:id="49"/>
    <w:p w:rsidR="00CA6855" w:rsidRDefault="00CA6855" w:rsidP="00F12F42">
      <w:pPr>
        <w:jc w:val="both"/>
        <w:rPr>
          <w:b/>
          <w:lang w:val="en-GB"/>
        </w:rPr>
      </w:pPr>
    </w:p>
    <w:p w:rsidR="009F0D67" w:rsidRPr="009F0D67" w:rsidRDefault="009F0D67" w:rsidP="00F12F42">
      <w:pPr>
        <w:pStyle w:val="ColorfulList-Accent11"/>
        <w:numPr>
          <w:ilvl w:val="0"/>
          <w:numId w:val="14"/>
        </w:numPr>
        <w:ind w:left="270" w:hanging="270"/>
        <w:jc w:val="both"/>
        <w:rPr>
          <w:b/>
          <w:lang w:val="en-GB"/>
        </w:rPr>
      </w:pPr>
      <w:r w:rsidRPr="009F0D67">
        <w:rPr>
          <w:i/>
          <w:lang w:val="en-GB"/>
        </w:rPr>
        <w:t>The Files received from UN archives in N</w:t>
      </w:r>
      <w:r>
        <w:rPr>
          <w:i/>
          <w:lang w:val="en-GB"/>
        </w:rPr>
        <w:t>ew York</w:t>
      </w:r>
    </w:p>
    <w:p w:rsidR="009F0D67" w:rsidRPr="009F0D67" w:rsidRDefault="009F0D67" w:rsidP="009F0D67">
      <w:pPr>
        <w:pStyle w:val="ColorfulList-Accent11"/>
        <w:ind w:left="270"/>
        <w:jc w:val="both"/>
        <w:rPr>
          <w:b/>
          <w:lang w:val="en-GB"/>
        </w:rPr>
      </w:pPr>
    </w:p>
    <w:p w:rsidR="009F0D67" w:rsidRDefault="009F0D67" w:rsidP="009F0D67">
      <w:pPr>
        <w:pStyle w:val="ColorfulList-Accent11"/>
        <w:numPr>
          <w:ilvl w:val="0"/>
          <w:numId w:val="2"/>
        </w:numPr>
        <w:tabs>
          <w:tab w:val="num" w:pos="450"/>
        </w:tabs>
        <w:suppressAutoHyphens w:val="0"/>
        <w:ind w:left="450" w:hanging="450"/>
        <w:contextualSpacing/>
        <w:jc w:val="both"/>
        <w:rPr>
          <w:color w:val="000000"/>
          <w:lang w:val="en-GB"/>
        </w:rPr>
      </w:pPr>
      <w:bookmarkStart w:id="56" w:name="_Ref372533237"/>
      <w:r w:rsidRPr="00EE6125">
        <w:rPr>
          <w:color w:val="000000"/>
          <w:lang w:val="en-GB"/>
        </w:rPr>
        <w:t xml:space="preserve">As mentioned above (see § </w:t>
      </w:r>
      <w:r w:rsidR="002B1686" w:rsidRPr="00EE6125">
        <w:rPr>
          <w:color w:val="000000"/>
          <w:lang w:val="en-GB"/>
        </w:rPr>
        <w:fldChar w:fldCharType="begin"/>
      </w:r>
      <w:r w:rsidRPr="00EE6125">
        <w:rPr>
          <w:color w:val="000000"/>
          <w:lang w:val="en-GB"/>
        </w:rPr>
        <w:instrText xml:space="preserve"> </w:instrText>
      </w:r>
      <w:r w:rsidR="0078377B">
        <w:rPr>
          <w:color w:val="000000"/>
          <w:lang w:val="en-GB"/>
        </w:rPr>
        <w:instrText>REF</w:instrText>
      </w:r>
      <w:r w:rsidRPr="00EE6125">
        <w:rPr>
          <w:color w:val="000000"/>
          <w:lang w:val="en-GB"/>
        </w:rPr>
        <w:instrText xml:space="preserve"> _Ref372640476 \r \h </w:instrText>
      </w:r>
      <w:r w:rsidR="002B1686" w:rsidRPr="00EE6125">
        <w:rPr>
          <w:color w:val="000000"/>
          <w:lang w:val="en-GB"/>
        </w:rPr>
      </w:r>
      <w:r w:rsidR="002B1686" w:rsidRPr="00EE6125">
        <w:rPr>
          <w:color w:val="000000"/>
          <w:lang w:val="en-GB"/>
        </w:rPr>
        <w:fldChar w:fldCharType="separate"/>
      </w:r>
      <w:r w:rsidR="00A35759">
        <w:rPr>
          <w:color w:val="000000"/>
          <w:lang w:val="en-GB"/>
        </w:rPr>
        <w:t>33</w:t>
      </w:r>
      <w:r w:rsidR="002B1686" w:rsidRPr="00EE6125">
        <w:rPr>
          <w:color w:val="000000"/>
          <w:lang w:val="en-GB"/>
        </w:rPr>
        <w:fldChar w:fldCharType="end"/>
      </w:r>
      <w:r w:rsidRPr="00EE6125">
        <w:rPr>
          <w:color w:val="000000"/>
          <w:lang w:val="en-GB"/>
        </w:rPr>
        <w:t xml:space="preserve">), on 17 December 2012, the Panel received the documents related to the investigations into the complaints of </w:t>
      </w:r>
      <w:r w:rsidRPr="00EE6125">
        <w:rPr>
          <w:color w:val="000000"/>
        </w:rPr>
        <w:t xml:space="preserve">Ms Lela </w:t>
      </w:r>
      <w:proofErr w:type="spellStart"/>
      <w:r w:rsidRPr="00EE6125">
        <w:rPr>
          <w:color w:val="000000"/>
        </w:rPr>
        <w:t>Nikolić</w:t>
      </w:r>
      <w:proofErr w:type="spellEnd"/>
      <w:r w:rsidRPr="00EE6125">
        <w:rPr>
          <w:color w:val="000000"/>
        </w:rPr>
        <w:t xml:space="preserve"> (</w:t>
      </w:r>
      <w:proofErr w:type="spellStart"/>
      <w:r w:rsidRPr="00EE6125">
        <w:rPr>
          <w:color w:val="000000"/>
        </w:rPr>
        <w:t>nos</w:t>
      </w:r>
      <w:proofErr w:type="spellEnd"/>
      <w:r w:rsidRPr="00EE6125">
        <w:rPr>
          <w:color w:val="000000"/>
        </w:rPr>
        <w:t xml:space="preserve"> 73/09 and 74/09 only) and the complaint of Ms </w:t>
      </w:r>
      <w:proofErr w:type="spellStart"/>
      <w:r w:rsidRPr="00EE6125">
        <w:rPr>
          <w:color w:val="000000"/>
        </w:rPr>
        <w:t>Rosanda</w:t>
      </w:r>
      <w:proofErr w:type="spellEnd"/>
      <w:r w:rsidRPr="00EE6125">
        <w:rPr>
          <w:color w:val="000000"/>
        </w:rPr>
        <w:t xml:space="preserve"> </w:t>
      </w:r>
      <w:proofErr w:type="spellStart"/>
      <w:r w:rsidRPr="00EE6125">
        <w:rPr>
          <w:color w:val="000000"/>
        </w:rPr>
        <w:t>Kabaš</w:t>
      </w:r>
      <w:proofErr w:type="spellEnd"/>
      <w:r w:rsidRPr="00EE6125">
        <w:rPr>
          <w:color w:val="000000"/>
        </w:rPr>
        <w:t xml:space="preserve"> (no. 78/09), which were returned to UNMIK from the</w:t>
      </w:r>
      <w:r w:rsidRPr="00EE6125">
        <w:rPr>
          <w:color w:val="000000"/>
          <w:lang w:val="en-GB"/>
        </w:rPr>
        <w:t xml:space="preserve"> UN archives in New York.</w:t>
      </w:r>
    </w:p>
    <w:p w:rsidR="00E025EE" w:rsidRPr="00EE6125" w:rsidRDefault="00E025EE" w:rsidP="00E025EE">
      <w:pPr>
        <w:pStyle w:val="ColorfulList-Accent11"/>
        <w:suppressAutoHyphens w:val="0"/>
        <w:ind w:left="450"/>
        <w:contextualSpacing/>
        <w:jc w:val="both"/>
        <w:rPr>
          <w:color w:val="000000"/>
          <w:lang w:val="en-GB"/>
        </w:rPr>
      </w:pPr>
    </w:p>
    <w:p w:rsidR="009F0D67" w:rsidRPr="00EE6125" w:rsidRDefault="0004234D" w:rsidP="009F0D67">
      <w:pPr>
        <w:pStyle w:val="ColorfulList-Accent11"/>
        <w:numPr>
          <w:ilvl w:val="0"/>
          <w:numId w:val="2"/>
        </w:numPr>
        <w:tabs>
          <w:tab w:val="num" w:pos="450"/>
        </w:tabs>
        <w:suppressAutoHyphens w:val="0"/>
        <w:ind w:left="450" w:hanging="450"/>
        <w:contextualSpacing/>
        <w:jc w:val="both"/>
        <w:rPr>
          <w:color w:val="000000"/>
          <w:lang w:val="en-GB"/>
        </w:rPr>
      </w:pPr>
      <w:bookmarkStart w:id="57" w:name="_Ref404694137"/>
      <w:r w:rsidRPr="00EE6125">
        <w:rPr>
          <w:color w:val="000000"/>
          <w:lang w:val="en-GB"/>
        </w:rPr>
        <w:t>These files contain the files previously held by the OMPF and the UNMIK Police MPU in relation to the three indicated cases, as described above respectively.</w:t>
      </w:r>
      <w:bookmarkEnd w:id="56"/>
      <w:bookmarkEnd w:id="57"/>
    </w:p>
    <w:p w:rsidR="009F0D67" w:rsidRDefault="009F0D67" w:rsidP="00F12F42">
      <w:pPr>
        <w:jc w:val="both"/>
        <w:rPr>
          <w:b/>
          <w:lang w:val="en-GB"/>
        </w:rPr>
      </w:pPr>
    </w:p>
    <w:p w:rsidR="00AD7BED" w:rsidRPr="000D0C3A" w:rsidRDefault="00AD7BED" w:rsidP="00F12F42">
      <w:pPr>
        <w:jc w:val="both"/>
        <w:rPr>
          <w:b/>
          <w:lang w:val="en-GB"/>
        </w:rPr>
      </w:pPr>
    </w:p>
    <w:p w:rsidR="00F12F42" w:rsidRPr="000D0C3A" w:rsidRDefault="00F12F42" w:rsidP="003D4233">
      <w:pPr>
        <w:pStyle w:val="ColorfulList-Accent11"/>
        <w:numPr>
          <w:ilvl w:val="0"/>
          <w:numId w:val="1"/>
        </w:numPr>
        <w:tabs>
          <w:tab w:val="left" w:pos="357"/>
        </w:tabs>
        <w:autoSpaceDE w:val="0"/>
        <w:jc w:val="both"/>
        <w:rPr>
          <w:b/>
          <w:bCs/>
          <w:lang w:val="en-GB"/>
        </w:rPr>
      </w:pPr>
      <w:r w:rsidRPr="000D0C3A">
        <w:rPr>
          <w:b/>
          <w:bCs/>
          <w:lang w:val="en-GB"/>
        </w:rPr>
        <w:t>THE COMPLAINT</w:t>
      </w:r>
      <w:r w:rsidR="0051097E" w:rsidRPr="000D0C3A">
        <w:rPr>
          <w:b/>
          <w:bCs/>
          <w:lang w:val="en-GB"/>
        </w:rPr>
        <w:t>S</w:t>
      </w:r>
    </w:p>
    <w:p w:rsidR="00F12F42" w:rsidRPr="000D0C3A" w:rsidRDefault="00F12F42" w:rsidP="00F12F42">
      <w:pPr>
        <w:pStyle w:val="ColorfulList-Accent11"/>
        <w:tabs>
          <w:tab w:val="left" w:pos="357"/>
        </w:tabs>
        <w:autoSpaceDE w:val="0"/>
        <w:ind w:left="1080"/>
        <w:jc w:val="both"/>
        <w:rPr>
          <w:b/>
          <w:bCs/>
          <w:lang w:val="en-GB"/>
        </w:rPr>
      </w:pPr>
    </w:p>
    <w:p w:rsidR="00F12F42" w:rsidRPr="000D0C3A" w:rsidRDefault="00F12F42" w:rsidP="003D4233">
      <w:pPr>
        <w:numPr>
          <w:ilvl w:val="0"/>
          <w:numId w:val="2"/>
        </w:numPr>
        <w:tabs>
          <w:tab w:val="num" w:pos="450"/>
        </w:tabs>
        <w:ind w:left="450" w:hanging="450"/>
        <w:jc w:val="both"/>
        <w:rPr>
          <w:b/>
          <w:bCs/>
          <w:lang w:val="en-GB"/>
        </w:rPr>
      </w:pPr>
      <w:r w:rsidRPr="000D0C3A">
        <w:rPr>
          <w:lang w:val="en-GB"/>
        </w:rPr>
        <w:t>The complainant</w:t>
      </w:r>
      <w:r w:rsidR="0051097E" w:rsidRPr="000D0C3A">
        <w:rPr>
          <w:lang w:val="en-GB"/>
        </w:rPr>
        <w:t>s</w:t>
      </w:r>
      <w:r w:rsidR="007A6FCD" w:rsidRPr="000D0C3A">
        <w:rPr>
          <w:lang w:val="en-GB"/>
        </w:rPr>
        <w:t xml:space="preserve"> complain</w:t>
      </w:r>
      <w:r w:rsidRPr="000D0C3A">
        <w:rPr>
          <w:lang w:val="en-GB"/>
        </w:rPr>
        <w:t xml:space="preserve"> about UNMIK’s alleged failure to properly investigate the </w:t>
      </w:r>
      <w:r w:rsidR="000D3554" w:rsidRPr="000D0C3A">
        <w:rPr>
          <w:lang w:val="en-GB"/>
        </w:rPr>
        <w:t xml:space="preserve">abduction and </w:t>
      </w:r>
      <w:r w:rsidR="00EE5C61" w:rsidRPr="000D0C3A">
        <w:rPr>
          <w:bCs/>
          <w:lang w:val="en-GB"/>
        </w:rPr>
        <w:t>disappearance</w:t>
      </w:r>
      <w:r w:rsidR="00CD0588" w:rsidRPr="000D0C3A">
        <w:rPr>
          <w:bCs/>
          <w:lang w:val="en-GB"/>
        </w:rPr>
        <w:t xml:space="preserve"> </w:t>
      </w:r>
      <w:r w:rsidR="005A570A" w:rsidRPr="000D0C3A">
        <w:rPr>
          <w:bCs/>
          <w:lang w:val="en-GB"/>
        </w:rPr>
        <w:t xml:space="preserve">of </w:t>
      </w:r>
      <w:r w:rsidR="00F35DD1">
        <w:rPr>
          <w:bCs/>
          <w:lang w:val="en-GB"/>
        </w:rPr>
        <w:t xml:space="preserve">their close relatives, </w:t>
      </w:r>
      <w:r w:rsidR="00F35DD1" w:rsidRPr="00962637">
        <w:t xml:space="preserve">Mrs </w:t>
      </w:r>
      <w:proofErr w:type="spellStart"/>
      <w:r w:rsidR="00F35DD1" w:rsidRPr="00962637">
        <w:t>Dar</w:t>
      </w:r>
      <w:r w:rsidR="00F35DD1">
        <w:t>inka</w:t>
      </w:r>
      <w:proofErr w:type="spellEnd"/>
      <w:r w:rsidR="00F35DD1" w:rsidRPr="00962637">
        <w:t xml:space="preserve"> </w:t>
      </w:r>
      <w:proofErr w:type="spellStart"/>
      <w:r w:rsidR="00F35DD1" w:rsidRPr="00962637">
        <w:t>Šutaković</w:t>
      </w:r>
      <w:proofErr w:type="spellEnd"/>
      <w:r w:rsidR="00F35DD1">
        <w:t xml:space="preserve">, </w:t>
      </w:r>
      <w:r w:rsidR="00F35DD1" w:rsidRPr="00962637">
        <w:t xml:space="preserve">Mr </w:t>
      </w:r>
      <w:proofErr w:type="spellStart"/>
      <w:r w:rsidR="00F35DD1" w:rsidRPr="00962637">
        <w:t>Nedeljko</w:t>
      </w:r>
      <w:proofErr w:type="spellEnd"/>
      <w:r w:rsidR="00F35DD1" w:rsidRPr="00962637">
        <w:t xml:space="preserve"> </w:t>
      </w:r>
      <w:proofErr w:type="spellStart"/>
      <w:r w:rsidR="00F35DD1" w:rsidRPr="00962637">
        <w:t>Šutaković</w:t>
      </w:r>
      <w:proofErr w:type="spellEnd"/>
      <w:r w:rsidR="00F35DD1" w:rsidRPr="00962637">
        <w:t xml:space="preserve">, </w:t>
      </w:r>
      <w:r w:rsidR="00F35DD1">
        <w:t xml:space="preserve">Mr </w:t>
      </w:r>
      <w:r w:rsidR="00F35DD1" w:rsidRPr="00962637">
        <w:t xml:space="preserve">Radovan </w:t>
      </w:r>
      <w:proofErr w:type="spellStart"/>
      <w:r w:rsidR="00F35DD1" w:rsidRPr="00962637">
        <w:t>Šutaković</w:t>
      </w:r>
      <w:proofErr w:type="spellEnd"/>
      <w:r w:rsidR="00F35DD1">
        <w:t>,</w:t>
      </w:r>
      <w:r w:rsidR="00F35DD1" w:rsidRPr="00A70075">
        <w:t xml:space="preserve"> </w:t>
      </w:r>
      <w:r w:rsidR="00F35DD1">
        <w:t xml:space="preserve">Mr </w:t>
      </w:r>
      <w:proofErr w:type="spellStart"/>
      <w:r w:rsidR="00F35DD1" w:rsidRPr="00962637">
        <w:t>Ðorđe</w:t>
      </w:r>
      <w:proofErr w:type="spellEnd"/>
      <w:r w:rsidR="00F35DD1" w:rsidRPr="00962637">
        <w:t xml:space="preserve"> </w:t>
      </w:r>
      <w:proofErr w:type="spellStart"/>
      <w:r w:rsidR="00F35DD1" w:rsidRPr="00962637">
        <w:t>Šutaković</w:t>
      </w:r>
      <w:proofErr w:type="spellEnd"/>
      <w:r w:rsidR="00F35DD1">
        <w:t xml:space="preserve">, </w:t>
      </w:r>
      <w:proofErr w:type="gramStart"/>
      <w:r w:rsidR="00F35DD1">
        <w:t>Mr</w:t>
      </w:r>
      <w:proofErr w:type="gramEnd"/>
      <w:r w:rsidR="00F35DD1">
        <w:t xml:space="preserve"> </w:t>
      </w:r>
      <w:proofErr w:type="spellStart"/>
      <w:r w:rsidR="00F35DD1">
        <w:t>Aleksandar</w:t>
      </w:r>
      <w:proofErr w:type="spellEnd"/>
      <w:r w:rsidR="00F35DD1">
        <w:t xml:space="preserve"> </w:t>
      </w:r>
      <w:proofErr w:type="spellStart"/>
      <w:r w:rsidR="00F35DD1" w:rsidRPr="00F35DD1">
        <w:t>Šutaković</w:t>
      </w:r>
      <w:proofErr w:type="spellEnd"/>
      <w:r w:rsidR="00F35DD1" w:rsidRPr="00F35DD1">
        <w:t xml:space="preserve">, </w:t>
      </w:r>
      <w:r w:rsidR="00F35DD1">
        <w:t xml:space="preserve">Mr </w:t>
      </w:r>
      <w:proofErr w:type="spellStart"/>
      <w:r w:rsidR="00F35DD1">
        <w:t>Milenko</w:t>
      </w:r>
      <w:proofErr w:type="spellEnd"/>
      <w:r w:rsidR="00F35DD1">
        <w:t xml:space="preserve"> </w:t>
      </w:r>
      <w:proofErr w:type="spellStart"/>
      <w:r w:rsidR="00F35DD1">
        <w:t>Kabaš</w:t>
      </w:r>
      <w:proofErr w:type="spellEnd"/>
      <w:r w:rsidR="00F35DD1">
        <w:t xml:space="preserve">, </w:t>
      </w:r>
      <w:r w:rsidR="00F35DD1" w:rsidRPr="00F35DD1">
        <w:rPr>
          <w:lang w:val="en-GB"/>
        </w:rPr>
        <w:t xml:space="preserve">Mr </w:t>
      </w:r>
      <w:proofErr w:type="spellStart"/>
      <w:r w:rsidR="00F35DD1" w:rsidRPr="00F35DD1">
        <w:rPr>
          <w:lang w:val="en-GB"/>
        </w:rPr>
        <w:t>Mića</w:t>
      </w:r>
      <w:proofErr w:type="spellEnd"/>
      <w:r w:rsidR="00F35DD1" w:rsidRPr="00F35DD1">
        <w:rPr>
          <w:lang w:val="en-GB"/>
        </w:rPr>
        <w:t xml:space="preserve"> </w:t>
      </w:r>
      <w:proofErr w:type="spellStart"/>
      <w:r w:rsidR="00F35DD1" w:rsidRPr="00F35DD1">
        <w:rPr>
          <w:lang w:val="en-GB"/>
        </w:rPr>
        <w:t>Petrović</w:t>
      </w:r>
      <w:proofErr w:type="spellEnd"/>
      <w:r w:rsidR="00F35DD1" w:rsidRPr="00F35DD1">
        <w:rPr>
          <w:lang w:val="en-GB"/>
        </w:rPr>
        <w:t xml:space="preserve"> and Mrs Radmila </w:t>
      </w:r>
      <w:proofErr w:type="spellStart"/>
      <w:r w:rsidR="00F35DD1" w:rsidRPr="00F35DD1">
        <w:rPr>
          <w:lang w:val="en-GB"/>
        </w:rPr>
        <w:t>Petrović</w:t>
      </w:r>
      <w:proofErr w:type="spellEnd"/>
      <w:r w:rsidRPr="00F35DD1">
        <w:rPr>
          <w:lang w:val="en-GB"/>
        </w:rPr>
        <w:t xml:space="preserve">. In this regard the Panel deems that </w:t>
      </w:r>
      <w:r w:rsidR="005C635E" w:rsidRPr="00F35DD1">
        <w:rPr>
          <w:lang w:val="en-GB"/>
        </w:rPr>
        <w:t>the complainant</w:t>
      </w:r>
      <w:r w:rsidR="0051097E" w:rsidRPr="00F35DD1">
        <w:rPr>
          <w:lang w:val="en-GB"/>
        </w:rPr>
        <w:t>s</w:t>
      </w:r>
      <w:r w:rsidRPr="000D0C3A">
        <w:rPr>
          <w:lang w:val="en-GB"/>
        </w:rPr>
        <w:t xml:space="preserve"> invoke a violation of the procedural limb of Article 2 of the European Convention on Human Rights (ECHR).</w:t>
      </w:r>
    </w:p>
    <w:p w:rsidR="007A6FCD" w:rsidRPr="000D0C3A" w:rsidRDefault="007A6FCD" w:rsidP="007A6FCD">
      <w:pPr>
        <w:pStyle w:val="ColorfulList-Accent11"/>
        <w:autoSpaceDE w:val="0"/>
        <w:ind w:left="360"/>
        <w:jc w:val="both"/>
        <w:rPr>
          <w:b/>
          <w:bCs/>
          <w:lang w:val="en-GB"/>
        </w:rPr>
      </w:pPr>
    </w:p>
    <w:p w:rsidR="007A6FCD" w:rsidRPr="000D0C3A" w:rsidRDefault="005C635E" w:rsidP="003D4233">
      <w:pPr>
        <w:numPr>
          <w:ilvl w:val="0"/>
          <w:numId w:val="2"/>
        </w:numPr>
        <w:tabs>
          <w:tab w:val="num" w:pos="450"/>
        </w:tabs>
        <w:ind w:left="450" w:hanging="450"/>
        <w:jc w:val="both"/>
        <w:rPr>
          <w:lang w:val="en-GB"/>
        </w:rPr>
      </w:pPr>
      <w:r w:rsidRPr="000D0C3A">
        <w:rPr>
          <w:lang w:val="en-GB"/>
        </w:rPr>
        <w:t>The complainant</w:t>
      </w:r>
      <w:r w:rsidR="003C3DD1" w:rsidRPr="000D0C3A">
        <w:rPr>
          <w:lang w:val="en-GB"/>
        </w:rPr>
        <w:t>s also complain</w:t>
      </w:r>
      <w:r w:rsidR="007A6FCD" w:rsidRPr="000D0C3A">
        <w:rPr>
          <w:lang w:val="en-GB"/>
        </w:rPr>
        <w:t xml:space="preserve"> about the mental pain and suffering allegedly caused to </w:t>
      </w:r>
      <w:r w:rsidR="003C3DD1" w:rsidRPr="000D0C3A">
        <w:rPr>
          <w:lang w:val="en-GB"/>
        </w:rPr>
        <w:t>them</w:t>
      </w:r>
      <w:r w:rsidR="007A6FCD" w:rsidRPr="000D0C3A">
        <w:rPr>
          <w:lang w:val="en-GB"/>
        </w:rPr>
        <w:t xml:space="preserve"> by this </w:t>
      </w:r>
      <w:r w:rsidR="00D05A60" w:rsidRPr="000D0C3A">
        <w:rPr>
          <w:lang w:val="en-GB"/>
        </w:rPr>
        <w:t>situation. In this regard, they</w:t>
      </w:r>
      <w:r w:rsidR="007A6FCD" w:rsidRPr="000D0C3A">
        <w:rPr>
          <w:lang w:val="en-GB"/>
        </w:rPr>
        <w:t xml:space="preserve"> rel</w:t>
      </w:r>
      <w:r w:rsidR="003C3DD1" w:rsidRPr="000D0C3A">
        <w:rPr>
          <w:lang w:val="en-GB"/>
        </w:rPr>
        <w:t>y</w:t>
      </w:r>
      <w:r w:rsidR="000D3554" w:rsidRPr="000D0C3A">
        <w:rPr>
          <w:lang w:val="en-GB"/>
        </w:rPr>
        <w:t xml:space="preserve"> on Article 3 of the ECHR.</w:t>
      </w:r>
    </w:p>
    <w:p w:rsidR="009813B4" w:rsidRPr="000D0C3A" w:rsidRDefault="009813B4" w:rsidP="007A6FCD">
      <w:pPr>
        <w:pStyle w:val="ColorfulList-Accent11"/>
        <w:rPr>
          <w:lang w:val="en-GB"/>
        </w:rPr>
      </w:pPr>
    </w:p>
    <w:p w:rsidR="004F06E7" w:rsidRPr="000D0C3A" w:rsidRDefault="004F06E7" w:rsidP="007A6FCD">
      <w:pPr>
        <w:pStyle w:val="ColorfulList-Accent11"/>
        <w:rPr>
          <w:lang w:val="en-GB"/>
        </w:rPr>
      </w:pPr>
    </w:p>
    <w:p w:rsidR="00D12979" w:rsidRPr="000D0C3A" w:rsidRDefault="00D12979" w:rsidP="003D4233">
      <w:pPr>
        <w:numPr>
          <w:ilvl w:val="0"/>
          <w:numId w:val="1"/>
        </w:numPr>
        <w:suppressAutoHyphens/>
        <w:autoSpaceDE w:val="0"/>
        <w:ind w:left="360" w:hanging="360"/>
        <w:jc w:val="both"/>
        <w:rPr>
          <w:b/>
          <w:bCs/>
          <w:lang w:val="en-GB"/>
        </w:rPr>
      </w:pPr>
      <w:r w:rsidRPr="000D0C3A">
        <w:rPr>
          <w:b/>
          <w:bCs/>
          <w:lang w:val="en-GB"/>
        </w:rPr>
        <w:t>THE LAW</w:t>
      </w:r>
    </w:p>
    <w:p w:rsidR="00D12979" w:rsidRPr="000D0C3A" w:rsidRDefault="00D12979" w:rsidP="00D12979">
      <w:pPr>
        <w:suppressAutoHyphens/>
        <w:autoSpaceDE w:val="0"/>
        <w:jc w:val="both"/>
        <w:rPr>
          <w:bCs/>
          <w:lang w:val="en-GB"/>
        </w:rPr>
      </w:pPr>
    </w:p>
    <w:p w:rsidR="00FB1D95" w:rsidRPr="000D0C3A" w:rsidRDefault="00FB1D95" w:rsidP="003D4233">
      <w:pPr>
        <w:pStyle w:val="Default"/>
        <w:numPr>
          <w:ilvl w:val="0"/>
          <w:numId w:val="4"/>
        </w:numPr>
        <w:jc w:val="both"/>
        <w:rPr>
          <w:b/>
          <w:lang w:val="en-GB"/>
        </w:rPr>
      </w:pPr>
      <w:r w:rsidRPr="000D0C3A">
        <w:rPr>
          <w:b/>
          <w:lang w:val="en-GB"/>
        </w:rPr>
        <w:t>Alleged violation of the procedural obligation under</w:t>
      </w:r>
      <w:r w:rsidR="00D939AE" w:rsidRPr="000D0C3A">
        <w:rPr>
          <w:b/>
          <w:lang w:val="en-GB"/>
        </w:rPr>
        <w:t xml:space="preserve"> </w:t>
      </w:r>
      <w:r w:rsidRPr="000D0C3A">
        <w:rPr>
          <w:b/>
          <w:lang w:val="en-GB"/>
        </w:rPr>
        <w:t xml:space="preserve">Article 2 of the ECHR </w:t>
      </w:r>
    </w:p>
    <w:p w:rsidR="00FB1D95" w:rsidRPr="000D0C3A" w:rsidRDefault="00FB1D95" w:rsidP="00FB1D95">
      <w:pPr>
        <w:tabs>
          <w:tab w:val="left" w:pos="630"/>
          <w:tab w:val="left" w:pos="2790"/>
        </w:tabs>
        <w:suppressAutoHyphens/>
        <w:autoSpaceDE w:val="0"/>
        <w:jc w:val="both"/>
        <w:rPr>
          <w:b/>
          <w:bCs/>
          <w:lang w:val="en-GB"/>
        </w:rPr>
      </w:pPr>
    </w:p>
    <w:p w:rsidR="00FB1D95" w:rsidRPr="000D0C3A" w:rsidRDefault="00FB1D95" w:rsidP="003D4233">
      <w:pPr>
        <w:pStyle w:val="ColorfulList-Accent11"/>
        <w:numPr>
          <w:ilvl w:val="1"/>
          <w:numId w:val="1"/>
        </w:numPr>
        <w:autoSpaceDE w:val="0"/>
        <w:contextualSpacing/>
        <w:jc w:val="both"/>
        <w:rPr>
          <w:b/>
          <w:bCs/>
          <w:lang w:val="en-GB"/>
        </w:rPr>
      </w:pPr>
      <w:r w:rsidRPr="000D0C3A">
        <w:rPr>
          <w:b/>
          <w:bCs/>
          <w:lang w:val="en-GB"/>
        </w:rPr>
        <w:t xml:space="preserve">The scope of the Panel’s review </w:t>
      </w:r>
    </w:p>
    <w:p w:rsidR="00DD3BB5" w:rsidRPr="000D0C3A" w:rsidRDefault="00DD3BB5" w:rsidP="00DD3BB5">
      <w:pPr>
        <w:pStyle w:val="ColorfulList-Accent11"/>
        <w:autoSpaceDE w:val="0"/>
        <w:ind w:left="360"/>
        <w:jc w:val="both"/>
        <w:rPr>
          <w:bCs/>
          <w:lang w:val="en-GB"/>
        </w:rPr>
      </w:pPr>
    </w:p>
    <w:p w:rsidR="00DD3BB5" w:rsidRPr="000D0C3A" w:rsidRDefault="00DD3BB5" w:rsidP="00DD3BB5">
      <w:pPr>
        <w:numPr>
          <w:ilvl w:val="0"/>
          <w:numId w:val="2"/>
        </w:numPr>
        <w:tabs>
          <w:tab w:val="num" w:pos="450"/>
        </w:tabs>
        <w:ind w:left="450" w:hanging="450"/>
        <w:jc w:val="both"/>
        <w:rPr>
          <w:bCs/>
          <w:lang w:val="en-GB"/>
        </w:rPr>
      </w:pPr>
      <w:r w:rsidRPr="000D0C3A">
        <w:rPr>
          <w:bCs/>
          <w:lang w:val="en-GB"/>
        </w:rPr>
        <w:t xml:space="preserve">Before </w:t>
      </w:r>
      <w:r w:rsidRPr="000D0C3A">
        <w:rPr>
          <w:lang w:val="en-GB"/>
        </w:rPr>
        <w:t>turning</w:t>
      </w:r>
      <w:r w:rsidRPr="000D0C3A">
        <w:rPr>
          <w:bCs/>
          <w:lang w:val="en-GB"/>
        </w:rPr>
        <w:t xml:space="preserve"> to the examination of the merits of the complaints, the Panel needs to clarify the scope of its review.</w:t>
      </w:r>
    </w:p>
    <w:p w:rsidR="007A6FCD" w:rsidRPr="000D0C3A" w:rsidRDefault="007A6FCD" w:rsidP="007A6FCD">
      <w:pPr>
        <w:autoSpaceDE w:val="0"/>
        <w:jc w:val="both"/>
        <w:rPr>
          <w:bCs/>
          <w:lang w:val="en-GB"/>
        </w:rPr>
      </w:pPr>
    </w:p>
    <w:p w:rsidR="00FB1D95" w:rsidRPr="000D0C3A" w:rsidRDefault="00FB1D95" w:rsidP="003D4233">
      <w:pPr>
        <w:numPr>
          <w:ilvl w:val="0"/>
          <w:numId w:val="2"/>
        </w:numPr>
        <w:tabs>
          <w:tab w:val="num" w:pos="450"/>
        </w:tabs>
        <w:ind w:left="450" w:hanging="450"/>
        <w:jc w:val="both"/>
        <w:rPr>
          <w:bCs/>
          <w:lang w:val="en-GB"/>
        </w:rPr>
      </w:pPr>
      <w:bookmarkStart w:id="58" w:name="_Ref401303498"/>
      <w:r w:rsidRPr="000D0C3A">
        <w:rPr>
          <w:lang w:val="en-GB"/>
        </w:rPr>
        <w:lastRenderedPageBreak/>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bookmarkEnd w:id="58"/>
    </w:p>
    <w:p w:rsidR="00FB1D95" w:rsidRPr="000D0C3A" w:rsidRDefault="00FB1D95" w:rsidP="00FB1D95">
      <w:pPr>
        <w:pStyle w:val="ColorfulList-Accent11"/>
        <w:rPr>
          <w:color w:val="000000"/>
          <w:lang w:val="en-GB" w:eastAsia="nl-BE"/>
        </w:rPr>
      </w:pPr>
      <w:bookmarkStart w:id="59" w:name="_Ref317418022"/>
    </w:p>
    <w:p w:rsidR="00FB1D95" w:rsidRPr="000D0C3A" w:rsidRDefault="00FB1D95" w:rsidP="003D4233">
      <w:pPr>
        <w:numPr>
          <w:ilvl w:val="0"/>
          <w:numId w:val="2"/>
        </w:numPr>
        <w:tabs>
          <w:tab w:val="num" w:pos="450"/>
        </w:tabs>
        <w:ind w:left="450" w:hanging="450"/>
        <w:jc w:val="both"/>
        <w:rPr>
          <w:bCs/>
          <w:lang w:val="en-GB"/>
        </w:rPr>
      </w:pPr>
      <w:r w:rsidRPr="000D0C3A">
        <w:rPr>
          <w:color w:val="000000"/>
          <w:lang w:val="en-GB" w:eastAsia="nl-BE"/>
        </w:rPr>
        <w:t xml:space="preserve">The </w:t>
      </w:r>
      <w:r w:rsidRPr="000D0C3A">
        <w:rPr>
          <w:bCs/>
          <w:lang w:val="en-GB"/>
        </w:rPr>
        <w:t>Panel</w:t>
      </w:r>
      <w:r w:rsidRPr="000D0C3A">
        <w:rPr>
          <w:color w:val="000000"/>
          <w:lang w:val="en-GB" w:eastAsia="nl-BE"/>
        </w:rPr>
        <w:t xml:space="preserve"> notes that with the adoption of the UNMIK Regulation No. 1999/1 on 25 July 1999 UNMIK undertook an obligation to observe internationally recognised human </w:t>
      </w:r>
      <w:r w:rsidRPr="000D0C3A">
        <w:rPr>
          <w:bCs/>
          <w:lang w:val="en-GB"/>
        </w:rPr>
        <w:t>rights</w:t>
      </w:r>
      <w:r w:rsidRPr="000D0C3A">
        <w:rPr>
          <w:color w:val="000000"/>
          <w:lang w:val="en-GB" w:eastAsia="nl-BE"/>
        </w:rPr>
        <w:t xml:space="preserve"> standards in exercising its functions. This undertaking was detailed  in UNMIK Regulation No. 1999/24 of 12 December 1999, by which UNMIK assumed obligations </w:t>
      </w:r>
      <w:r w:rsidRPr="000D0C3A">
        <w:rPr>
          <w:rFonts w:cs="CAGLHH+TimesNewRoman"/>
          <w:color w:val="000000"/>
          <w:lang w:val="en-GB"/>
        </w:rPr>
        <w:t>under</w:t>
      </w:r>
      <w:r w:rsidRPr="000D0C3A">
        <w:rPr>
          <w:color w:val="000000"/>
          <w:lang w:val="en-GB" w:eastAsia="nl-BE"/>
        </w:rPr>
        <w:t xml:space="preserve"> the </w:t>
      </w:r>
      <w:r w:rsidRPr="000D0C3A">
        <w:t>following</w:t>
      </w:r>
      <w:r w:rsidRPr="000D0C3A">
        <w:rPr>
          <w:color w:val="000000"/>
          <w:lang w:val="en-GB" w:eastAsia="nl-BE"/>
        </w:rPr>
        <w:t xml:space="preserve"> human rights instruments</w:t>
      </w:r>
      <w:r w:rsidRPr="000D0C3A">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w:t>
      </w:r>
      <w:r w:rsidRPr="000D0C3A">
        <w:rPr>
          <w:rFonts w:cs="CAGLHH+TimesNewRoman"/>
          <w:color w:val="000000"/>
          <w:lang w:val="en-GB"/>
        </w:rPr>
        <w:t>Discrimination</w:t>
      </w:r>
      <w:r w:rsidRPr="000D0C3A">
        <w:rPr>
          <w:lang w:val="en-GB"/>
        </w:rPr>
        <w:t xml:space="preserve">, the Convention on the Elimination of All Forms of Discrimination Against Women, </w:t>
      </w:r>
      <w:hyperlink r:id="rId10" w:history="1">
        <w:r w:rsidRPr="000D0C3A">
          <w:rPr>
            <w:rStyle w:val="Hyperlink"/>
            <w:color w:val="auto"/>
            <w:u w:val="none"/>
            <w:lang w:val="en-GB"/>
          </w:rPr>
          <w:t>the Convention Against Torture and Other Cruel, Inhuman or Degrading Treatment or Punishment</w:t>
        </w:r>
      </w:hyperlink>
      <w:r w:rsidRPr="000D0C3A">
        <w:rPr>
          <w:lang w:val="en-GB"/>
        </w:rPr>
        <w:t xml:space="preserve">, the Convention on the Rights of the Child. </w:t>
      </w:r>
      <w:bookmarkStart w:id="60" w:name="_Ref317493050"/>
    </w:p>
    <w:p w:rsidR="00FB1D95" w:rsidRPr="000D0C3A" w:rsidRDefault="00FB1D95" w:rsidP="00FB1D95">
      <w:pPr>
        <w:pStyle w:val="ColorfulList-Accent11"/>
        <w:rPr>
          <w:rFonts w:cs="CAGLHH+TimesNewRoman"/>
          <w:color w:val="000000"/>
          <w:lang w:val="en-GB"/>
        </w:rPr>
      </w:pPr>
    </w:p>
    <w:p w:rsidR="00FB1D95" w:rsidRPr="000D0C3A" w:rsidRDefault="00FB1D95" w:rsidP="003D4233">
      <w:pPr>
        <w:numPr>
          <w:ilvl w:val="0"/>
          <w:numId w:val="2"/>
        </w:numPr>
        <w:tabs>
          <w:tab w:val="num" w:pos="450"/>
        </w:tabs>
        <w:ind w:left="450" w:hanging="450"/>
        <w:jc w:val="both"/>
        <w:rPr>
          <w:bCs/>
          <w:lang w:val="en-GB"/>
        </w:rPr>
      </w:pPr>
      <w:bookmarkStart w:id="61" w:name="_Ref401157489"/>
      <w:r w:rsidRPr="000D0C3A">
        <w:rPr>
          <w:rFonts w:cs="CAGLHH+TimesNewRoman"/>
          <w:color w:val="000000"/>
          <w:lang w:val="en-GB"/>
        </w:rPr>
        <w:t xml:space="preserve">The Panel also notes that Section 1.2 of </w:t>
      </w:r>
      <w:r w:rsidRPr="000D0C3A">
        <w:rPr>
          <w:bCs/>
          <w:lang w:val="en-GB"/>
        </w:rPr>
        <w:t xml:space="preserve">UNMIK Regulation No. 2006/12 of 23 March 2006 </w:t>
      </w:r>
      <w:r w:rsidRPr="000D0C3A">
        <w:rPr>
          <w:lang w:val="en-GB"/>
        </w:rPr>
        <w:t>on</w:t>
      </w:r>
      <w:r w:rsidRPr="000D0C3A">
        <w:rPr>
          <w:bCs/>
          <w:lang w:val="en-GB"/>
        </w:rPr>
        <w:t xml:space="preserve"> the Establishment of the Human Rights Advisory Panel </w:t>
      </w:r>
      <w:r w:rsidRPr="000D0C3A">
        <w:rPr>
          <w:rFonts w:cs="CAGLHH+TimesNewRoman"/>
          <w:color w:val="000000"/>
          <w:lang w:val="en-GB"/>
        </w:rPr>
        <w:t xml:space="preserve">provides that the Panel “shall examine complaints from any person or group of individuals claiming to be the victim of a violation by UNMIK of (their) human rights”. It </w:t>
      </w:r>
      <w:r w:rsidRPr="000D0C3A">
        <w:rPr>
          <w:bCs/>
          <w:lang w:val="en-GB"/>
        </w:rPr>
        <w:t>follows</w:t>
      </w:r>
      <w:r w:rsidRPr="000D0C3A">
        <w:rPr>
          <w:rFonts w:cs="CAGLHH+TimesNewRoman"/>
          <w:color w:val="000000"/>
          <w:lang w:val="en-GB"/>
        </w:rPr>
        <w:t xml:space="preserve"> that only acts or omissions attributable to UNMIK fall within the jurisdiction </w:t>
      </w:r>
      <w:r w:rsidRPr="000D0C3A">
        <w:rPr>
          <w:rFonts w:cs="CAGLHH+TimesNewRoman"/>
          <w:i/>
          <w:color w:val="000000"/>
          <w:lang w:val="en-GB"/>
        </w:rPr>
        <w:t>ratione personae</w:t>
      </w:r>
      <w:r w:rsidRPr="000D0C3A">
        <w:rPr>
          <w:rFonts w:cs="CAGLHH+TimesNewRoman"/>
          <w:color w:val="000000"/>
          <w:lang w:val="en-GB"/>
        </w:rPr>
        <w:t xml:space="preserve"> of the Panel. In this respect, it should be noted, as stated above, that as of </w:t>
      </w:r>
      <w:r w:rsidRPr="000D0C3A">
        <w:rPr>
          <w:lang w:val="en-GB"/>
        </w:rPr>
        <w:t xml:space="preserve">9 December 2008, UNMIK </w:t>
      </w:r>
      <w:r w:rsidRPr="000D0C3A">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0D0C3A">
        <w:rPr>
          <w:bCs/>
          <w:i/>
          <w:lang w:val="en-GB"/>
        </w:rPr>
        <w:t>ratione personae</w:t>
      </w:r>
      <w:r w:rsidRPr="000D0C3A">
        <w:rPr>
          <w:bCs/>
          <w:lang w:val="en-GB"/>
        </w:rPr>
        <w:t xml:space="preserve"> of the Panel.</w:t>
      </w:r>
      <w:bookmarkEnd w:id="60"/>
      <w:bookmarkEnd w:id="61"/>
    </w:p>
    <w:p w:rsidR="00FB1D95" w:rsidRPr="000D0C3A" w:rsidRDefault="00FB1D95" w:rsidP="00FB1D95">
      <w:pPr>
        <w:pStyle w:val="ColorfulList-Accent11"/>
        <w:rPr>
          <w:rFonts w:cs="CAGLHH+TimesNewRoman"/>
          <w:color w:val="000000"/>
          <w:lang w:val="en-GB"/>
        </w:rPr>
      </w:pPr>
    </w:p>
    <w:p w:rsidR="00FB1D95" w:rsidRPr="000D0C3A" w:rsidRDefault="00FB1D95" w:rsidP="003D4233">
      <w:pPr>
        <w:numPr>
          <w:ilvl w:val="0"/>
          <w:numId w:val="2"/>
        </w:numPr>
        <w:tabs>
          <w:tab w:val="num" w:pos="450"/>
        </w:tabs>
        <w:ind w:left="450" w:hanging="450"/>
        <w:jc w:val="both"/>
        <w:rPr>
          <w:bCs/>
          <w:lang w:val="en-GB"/>
        </w:rPr>
      </w:pPr>
      <w:r w:rsidRPr="000D0C3A">
        <w:rPr>
          <w:bCs/>
          <w:lang w:val="en-GB"/>
        </w:rPr>
        <w:t>Likewise</w:t>
      </w:r>
      <w:r w:rsidRPr="000D0C3A">
        <w:rPr>
          <w:rFonts w:cs="CAGLHH+TimesNewRoman"/>
          <w:color w:val="000000"/>
          <w:lang w:val="en-GB"/>
        </w:rPr>
        <w:t xml:space="preserve">, the Panel emphasises that, as far as its </w:t>
      </w:r>
      <w:r w:rsidRPr="000D0C3A">
        <w:rPr>
          <w:rFonts w:cs="CAGLHH+TimesNewRoman"/>
          <w:lang w:val="en-GB"/>
        </w:rPr>
        <w:t xml:space="preserve">jurisdiction </w:t>
      </w:r>
      <w:r w:rsidRPr="000D0C3A">
        <w:rPr>
          <w:rFonts w:cs="CAGLHH+TimesNewRoman"/>
          <w:i/>
          <w:lang w:val="en-GB"/>
        </w:rPr>
        <w:t>ratione</w:t>
      </w:r>
      <w:r w:rsidR="002E1AC9" w:rsidRPr="000D0C3A">
        <w:rPr>
          <w:rFonts w:cs="CAGLHH+TimesNewRoman"/>
          <w:i/>
          <w:lang w:val="en-GB"/>
        </w:rPr>
        <w:t xml:space="preserve"> </w:t>
      </w:r>
      <w:r w:rsidRPr="000D0C3A">
        <w:rPr>
          <w:rFonts w:cs="CAGLHH+TimesNewRoman"/>
          <w:i/>
          <w:lang w:val="en-GB"/>
        </w:rPr>
        <w:t>materiae</w:t>
      </w:r>
      <w:r w:rsidRPr="000D0C3A">
        <w:rPr>
          <w:rFonts w:cs="CAGLHH+TimesNewRoman"/>
          <w:lang w:val="en-GB"/>
        </w:rPr>
        <w:t xml:space="preserve"> is</w:t>
      </w:r>
      <w:r w:rsidRPr="000D0C3A">
        <w:rPr>
          <w:rFonts w:cs="CAGLHH+TimesNewRoman"/>
          <w:color w:val="000000"/>
          <w:lang w:val="en-GB"/>
        </w:rPr>
        <w:t xml:space="preserve">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D05A60" w:rsidRPr="000D0C3A">
        <w:rPr>
          <w:lang w:val="en-GB"/>
        </w:rPr>
        <w:t>9</w:t>
      </w:r>
      <w:r w:rsidR="00AC1240" w:rsidRPr="000D0C3A">
        <w:rPr>
          <w:lang w:val="en-GB"/>
        </w:rPr>
        <w:t>9</w:t>
      </w:r>
      <w:r w:rsidRPr="000D0C3A">
        <w:rPr>
          <w:rFonts w:cs="CAGLHH+TimesNewRoman"/>
          <w:color w:val="000000"/>
          <w:lang w:val="en-GB"/>
        </w:rPr>
        <w:t>).</w:t>
      </w:r>
      <w:r w:rsidRPr="000D0C3A">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62" w:name="_Ref346123885"/>
      <w:bookmarkEnd w:id="59"/>
    </w:p>
    <w:p w:rsidR="00FB1D95" w:rsidRPr="000D0C3A" w:rsidRDefault="00FB1D95" w:rsidP="00FB1D95">
      <w:pPr>
        <w:pStyle w:val="ColorfulList-Accent11"/>
        <w:rPr>
          <w:bCs/>
          <w:lang w:val="en-GB"/>
        </w:rPr>
      </w:pPr>
    </w:p>
    <w:p w:rsidR="00FB1D95" w:rsidRPr="000D0C3A" w:rsidRDefault="00FB1D95" w:rsidP="003D4233">
      <w:pPr>
        <w:numPr>
          <w:ilvl w:val="0"/>
          <w:numId w:val="2"/>
        </w:numPr>
        <w:tabs>
          <w:tab w:val="num" w:pos="450"/>
        </w:tabs>
        <w:ind w:left="450" w:hanging="450"/>
        <w:jc w:val="both"/>
        <w:rPr>
          <w:bCs/>
          <w:lang w:val="en-GB"/>
        </w:rPr>
      </w:pPr>
      <w:bookmarkStart w:id="63" w:name="_Ref401157497"/>
      <w:r w:rsidRPr="000D0C3A">
        <w:rPr>
          <w:bCs/>
          <w:lang w:val="en-GB"/>
        </w:rPr>
        <w:t xml:space="preserve">The </w:t>
      </w:r>
      <w:r w:rsidRPr="000D0C3A">
        <w:rPr>
          <w:lang w:val="en-GB"/>
        </w:rPr>
        <w:t>Panel</w:t>
      </w:r>
      <w:r w:rsidRPr="000D0C3A">
        <w:rPr>
          <w:bCs/>
          <w:lang w:val="en-GB"/>
        </w:rPr>
        <w:t xml:space="preserve"> further notes that Section 2 of UNMIK Regulation No. 2006/12 provides that t</w:t>
      </w:r>
      <w:r w:rsidRPr="000D0C3A">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0D0C3A">
        <w:rPr>
          <w:rFonts w:cs="CAGLHH+TimesNewRoman"/>
          <w:i/>
          <w:lang w:val="en-GB"/>
        </w:rPr>
        <w:t>ratione</w:t>
      </w:r>
      <w:r w:rsidR="002E1AC9" w:rsidRPr="000D0C3A">
        <w:rPr>
          <w:rFonts w:cs="CAGLHH+TimesNewRoman"/>
          <w:i/>
          <w:lang w:val="en-GB"/>
        </w:rPr>
        <w:t xml:space="preserve"> </w:t>
      </w:r>
      <w:r w:rsidRPr="000D0C3A">
        <w:rPr>
          <w:rFonts w:cs="CAGLHH+TimesNewRoman"/>
          <w:i/>
          <w:lang w:val="en-GB"/>
        </w:rPr>
        <w:t>temporis</w:t>
      </w:r>
      <w:r w:rsidRPr="000D0C3A">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0D0C3A">
        <w:rPr>
          <w:rFonts w:cs="CAGLHH+TimesNewRoman"/>
          <w:i/>
          <w:color w:val="000000"/>
          <w:lang w:val="en-GB"/>
        </w:rPr>
        <w:t>Varnava and Others v. Turkey</w:t>
      </w:r>
      <w:r w:rsidRPr="000D0C3A">
        <w:rPr>
          <w:rFonts w:cs="CAGLHH+TimesNewRoman"/>
          <w:color w:val="000000"/>
          <w:lang w:val="en-GB"/>
        </w:rPr>
        <w:t xml:space="preserve">, </w:t>
      </w:r>
      <w:r w:rsidR="000253E8" w:rsidRPr="000D0C3A">
        <w:rPr>
          <w:rFonts w:cs="CAGLHH+TimesNewRoman"/>
          <w:color w:val="000000"/>
          <w:lang w:val="en-GB"/>
        </w:rPr>
        <w:t>nos</w:t>
      </w:r>
      <w:r w:rsidRPr="000D0C3A">
        <w:rPr>
          <w:rFonts w:cs="CAGLHH+TimesNewRoman"/>
          <w:color w:val="000000"/>
          <w:lang w:val="en-GB"/>
        </w:rPr>
        <w:t xml:space="preserve"> 16064/90 and others, judgment of 18 September 2009, §§ 147-149; ECtHR, </w:t>
      </w:r>
      <w:r w:rsidRPr="000D0C3A">
        <w:rPr>
          <w:rFonts w:cs="CAGLHH+TimesNewRoman"/>
          <w:i/>
          <w:color w:val="000000"/>
          <w:lang w:val="en-GB"/>
        </w:rPr>
        <w:t xml:space="preserve">Cyprus v. Turkey </w:t>
      </w:r>
      <w:r w:rsidRPr="000D0C3A">
        <w:rPr>
          <w:rFonts w:cs="CAGLHH+TimesNewRoman"/>
          <w:color w:val="000000"/>
          <w:lang w:val="en-GB"/>
        </w:rPr>
        <w:t xml:space="preserve">[GC] no. </w:t>
      </w:r>
      <w:r w:rsidRPr="000D0C3A">
        <w:rPr>
          <w:rStyle w:val="s85f22697"/>
          <w:lang w:val="en-GB"/>
        </w:rPr>
        <w:t>25781/94, judgment of 10 May 2001,</w:t>
      </w:r>
      <w:r w:rsidRPr="000D0C3A">
        <w:rPr>
          <w:rFonts w:cs="CAGLHH+TimesNewRoman"/>
          <w:lang w:val="en-GB"/>
        </w:rPr>
        <w:t xml:space="preserve"> § 136</w:t>
      </w:r>
      <w:r w:rsidRPr="000D0C3A">
        <w:rPr>
          <w:rFonts w:cs="CAGLHH+TimesNewRoman"/>
          <w:color w:val="000000"/>
          <w:lang w:val="en-GB"/>
        </w:rPr>
        <w:t>, ECHR 2001-IV).</w:t>
      </w:r>
      <w:bookmarkEnd w:id="62"/>
      <w:bookmarkEnd w:id="63"/>
    </w:p>
    <w:p w:rsidR="007A6FCD" w:rsidRPr="000D0C3A" w:rsidRDefault="007A6FCD" w:rsidP="00C0731E">
      <w:pPr>
        <w:jc w:val="both"/>
        <w:rPr>
          <w:lang w:val="en-GB"/>
        </w:rPr>
      </w:pPr>
    </w:p>
    <w:p w:rsidR="007A6FCD" w:rsidRPr="000D0C3A" w:rsidRDefault="00F80146" w:rsidP="003D4233">
      <w:pPr>
        <w:pStyle w:val="ColorfulList-Accent11"/>
        <w:numPr>
          <w:ilvl w:val="1"/>
          <w:numId w:val="1"/>
        </w:numPr>
        <w:contextualSpacing/>
        <w:rPr>
          <w:b/>
          <w:bCs/>
          <w:lang w:val="en-GB"/>
        </w:rPr>
      </w:pPr>
      <w:r w:rsidRPr="000D0C3A">
        <w:rPr>
          <w:b/>
          <w:bCs/>
          <w:lang w:val="en-GB"/>
        </w:rPr>
        <w:t>The p</w:t>
      </w:r>
      <w:r w:rsidR="00D939AE" w:rsidRPr="000D0C3A">
        <w:rPr>
          <w:b/>
          <w:bCs/>
          <w:lang w:val="en-GB"/>
        </w:rPr>
        <w:t>arties’ s</w:t>
      </w:r>
      <w:r w:rsidR="007A6FCD" w:rsidRPr="000D0C3A">
        <w:rPr>
          <w:b/>
          <w:bCs/>
          <w:lang w:val="en-GB"/>
        </w:rPr>
        <w:t xml:space="preserve">ubmissions </w:t>
      </w:r>
    </w:p>
    <w:p w:rsidR="007A6FCD" w:rsidRPr="000D0C3A" w:rsidRDefault="007A6FCD" w:rsidP="007A6FCD">
      <w:pPr>
        <w:rPr>
          <w:b/>
          <w:lang w:val="en-GB"/>
        </w:rPr>
      </w:pPr>
    </w:p>
    <w:p w:rsidR="007A6FCD" w:rsidRPr="000D0C3A" w:rsidRDefault="00343F68" w:rsidP="003D4233">
      <w:pPr>
        <w:numPr>
          <w:ilvl w:val="0"/>
          <w:numId w:val="2"/>
        </w:numPr>
        <w:tabs>
          <w:tab w:val="num" w:pos="450"/>
        </w:tabs>
        <w:ind w:left="450" w:hanging="450"/>
        <w:jc w:val="both"/>
        <w:rPr>
          <w:lang w:val="en-GB"/>
        </w:rPr>
      </w:pPr>
      <w:r w:rsidRPr="000D0C3A">
        <w:rPr>
          <w:lang w:val="en-GB"/>
        </w:rPr>
        <w:t>The complainant</w:t>
      </w:r>
      <w:r w:rsidR="003C3DD1" w:rsidRPr="000D0C3A">
        <w:rPr>
          <w:lang w:val="en-GB"/>
        </w:rPr>
        <w:t>s</w:t>
      </w:r>
      <w:r w:rsidR="006F3FDC" w:rsidRPr="000D0C3A">
        <w:rPr>
          <w:lang w:val="en-GB"/>
        </w:rPr>
        <w:t xml:space="preserve"> in substance allege violations concerning the lack of an adequate </w:t>
      </w:r>
      <w:r w:rsidR="006F3FDC" w:rsidRPr="000D0C3A">
        <w:rPr>
          <w:rFonts w:cs="CAGLHH+TimesNewRoman"/>
          <w:color w:val="000000"/>
          <w:lang w:val="en-GB"/>
        </w:rPr>
        <w:t>criminal</w:t>
      </w:r>
      <w:r w:rsidR="006F3FDC" w:rsidRPr="000D0C3A">
        <w:rPr>
          <w:lang w:val="en-GB"/>
        </w:rPr>
        <w:t xml:space="preserve"> </w:t>
      </w:r>
      <w:r w:rsidR="006F3FDC" w:rsidRPr="000D0C3A">
        <w:rPr>
          <w:rFonts w:cs="CAGLHH+TimesNewRoman"/>
          <w:color w:val="000000"/>
          <w:lang w:val="en-GB"/>
        </w:rPr>
        <w:t>investigation</w:t>
      </w:r>
      <w:r w:rsidR="006F3FDC" w:rsidRPr="000D0C3A">
        <w:rPr>
          <w:lang w:val="en-GB"/>
        </w:rPr>
        <w:t xml:space="preserve"> into</w:t>
      </w:r>
      <w:r w:rsidR="00CE12C1" w:rsidRPr="000D0C3A">
        <w:rPr>
          <w:lang w:val="en-GB"/>
        </w:rPr>
        <w:t xml:space="preserve"> </w:t>
      </w:r>
      <w:r w:rsidR="00A25A6E" w:rsidRPr="000D0C3A">
        <w:rPr>
          <w:lang w:val="en-GB"/>
        </w:rPr>
        <w:t xml:space="preserve">the </w:t>
      </w:r>
      <w:r w:rsidR="00084D5A" w:rsidRPr="000D0C3A">
        <w:rPr>
          <w:lang w:val="en-GB"/>
        </w:rPr>
        <w:t xml:space="preserve">abduction and </w:t>
      </w:r>
      <w:r w:rsidR="00084D5A" w:rsidRPr="000D0C3A">
        <w:rPr>
          <w:bCs/>
          <w:lang w:val="en-GB"/>
        </w:rPr>
        <w:t xml:space="preserve">disappearance of </w:t>
      </w:r>
      <w:r w:rsidR="00E203D1">
        <w:rPr>
          <w:bCs/>
          <w:lang w:val="en-GB"/>
        </w:rPr>
        <w:t>their close relatives</w:t>
      </w:r>
      <w:r w:rsidR="001F240E" w:rsidRPr="000D0C3A">
        <w:rPr>
          <w:lang w:val="en-GB"/>
        </w:rPr>
        <w:t>. The complainant</w:t>
      </w:r>
      <w:r w:rsidR="003C3DD1" w:rsidRPr="000D0C3A">
        <w:rPr>
          <w:lang w:val="en-GB"/>
        </w:rPr>
        <w:t>s</w:t>
      </w:r>
      <w:r w:rsidR="006F3FDC" w:rsidRPr="000D0C3A">
        <w:rPr>
          <w:lang w:val="en-GB"/>
        </w:rPr>
        <w:t xml:space="preserve"> also state</w:t>
      </w:r>
      <w:r w:rsidR="003C3DD1" w:rsidRPr="000D0C3A">
        <w:rPr>
          <w:lang w:val="en-GB"/>
        </w:rPr>
        <w:t xml:space="preserve"> that they were</w:t>
      </w:r>
      <w:r w:rsidR="006F3FDC" w:rsidRPr="000D0C3A">
        <w:rPr>
          <w:lang w:val="en-GB"/>
        </w:rPr>
        <w:t xml:space="preserve"> not informed as to whether an investigation was conducted and what the outcome was.</w:t>
      </w:r>
    </w:p>
    <w:p w:rsidR="00084D5A" w:rsidRPr="000D0C3A" w:rsidRDefault="00084D5A" w:rsidP="009813B4">
      <w:pPr>
        <w:suppressAutoHyphens/>
        <w:autoSpaceDE w:val="0"/>
        <w:ind w:left="360"/>
        <w:jc w:val="both"/>
        <w:rPr>
          <w:lang w:val="en-GB"/>
        </w:rPr>
      </w:pPr>
    </w:p>
    <w:p w:rsidR="00C97F41" w:rsidRPr="00E203D1" w:rsidRDefault="009813B4" w:rsidP="003D4233">
      <w:pPr>
        <w:numPr>
          <w:ilvl w:val="0"/>
          <w:numId w:val="2"/>
        </w:numPr>
        <w:tabs>
          <w:tab w:val="num" w:pos="450"/>
        </w:tabs>
        <w:suppressAutoHyphens/>
        <w:autoSpaceDE w:val="0"/>
        <w:ind w:left="450" w:hanging="450"/>
        <w:jc w:val="both"/>
        <w:rPr>
          <w:lang w:val="en-GB"/>
        </w:rPr>
      </w:pPr>
      <w:r w:rsidRPr="00EE6125">
        <w:rPr>
          <w:bCs/>
          <w:color w:val="000000"/>
          <w:lang w:val="en-GB"/>
        </w:rPr>
        <w:t xml:space="preserve">The SRSG </w:t>
      </w:r>
      <w:r w:rsidR="004F65AD" w:rsidRPr="00EE6125">
        <w:rPr>
          <w:color w:val="000000"/>
          <w:lang w:val="en-GB"/>
        </w:rPr>
        <w:t xml:space="preserve">generally notes </w:t>
      </w:r>
      <w:r w:rsidR="00C15EEE" w:rsidRPr="00EE6125">
        <w:rPr>
          <w:bCs/>
          <w:color w:val="000000"/>
          <w:lang w:val="en-GB"/>
        </w:rPr>
        <w:t xml:space="preserve">that in this case UNMIK has been able to obtain </w:t>
      </w:r>
      <w:r w:rsidR="00A4704B" w:rsidRPr="00EE6125">
        <w:rPr>
          <w:bCs/>
          <w:color w:val="000000"/>
          <w:lang w:val="en-GB"/>
        </w:rPr>
        <w:t xml:space="preserve">copies of relevant files </w:t>
      </w:r>
      <w:r w:rsidR="00343F68" w:rsidRPr="00EE6125">
        <w:rPr>
          <w:bCs/>
          <w:color w:val="000000"/>
          <w:lang w:val="en-GB"/>
        </w:rPr>
        <w:t>previously</w:t>
      </w:r>
      <w:r w:rsidR="001F240E" w:rsidRPr="00EE6125">
        <w:rPr>
          <w:bCs/>
          <w:color w:val="000000"/>
          <w:lang w:val="en-GB"/>
        </w:rPr>
        <w:t xml:space="preserve"> held by the OMPF and UNMIK Police</w:t>
      </w:r>
      <w:r w:rsidR="00A4704B" w:rsidRPr="00EE6125">
        <w:rPr>
          <w:bCs/>
          <w:color w:val="000000"/>
          <w:lang w:val="en-GB"/>
        </w:rPr>
        <w:t xml:space="preserve"> </w:t>
      </w:r>
      <w:r w:rsidR="00D00805" w:rsidRPr="00EE6125">
        <w:rPr>
          <w:bCs/>
          <w:color w:val="000000"/>
          <w:lang w:val="en-GB"/>
        </w:rPr>
        <w:t>WCIU</w:t>
      </w:r>
      <w:r w:rsidR="001F240E" w:rsidRPr="00EE6125">
        <w:rPr>
          <w:bCs/>
          <w:color w:val="000000"/>
          <w:lang w:val="en-GB"/>
        </w:rPr>
        <w:t xml:space="preserve">. </w:t>
      </w:r>
      <w:r w:rsidR="00D00805" w:rsidRPr="00EE6125">
        <w:rPr>
          <w:color w:val="000000"/>
        </w:rPr>
        <w:t>T</w:t>
      </w:r>
      <w:r w:rsidR="00E6650B" w:rsidRPr="00EE6125">
        <w:rPr>
          <w:color w:val="000000"/>
        </w:rPr>
        <w:t>h</w:t>
      </w:r>
      <w:r w:rsidR="00D00805" w:rsidRPr="00EE6125">
        <w:rPr>
          <w:color w:val="000000"/>
        </w:rPr>
        <w:t>e SRSG also submits that,</w:t>
      </w:r>
      <w:r w:rsidR="00A4704B" w:rsidRPr="00EE6125">
        <w:rPr>
          <w:color w:val="000000"/>
        </w:rPr>
        <w:t xml:space="preserve"> </w:t>
      </w:r>
      <w:r w:rsidR="00D00805" w:rsidRPr="00EE6125">
        <w:rPr>
          <w:color w:val="000000"/>
        </w:rPr>
        <w:t xml:space="preserve">as UNMIK handed over all investigative files to EULEX, it </w:t>
      </w:r>
      <w:r w:rsidR="00E203D1" w:rsidRPr="00EE6125">
        <w:rPr>
          <w:color w:val="000000"/>
        </w:rPr>
        <w:t xml:space="preserve">is “dependent on </w:t>
      </w:r>
      <w:r w:rsidR="00D00805" w:rsidRPr="00EE6125">
        <w:rPr>
          <w:color w:val="000000"/>
        </w:rPr>
        <w:t xml:space="preserve">EULEX </w:t>
      </w:r>
      <w:r w:rsidR="00E203D1" w:rsidRPr="00EE6125">
        <w:rPr>
          <w:color w:val="000000"/>
        </w:rPr>
        <w:t xml:space="preserve">to provide information on any given matter before the HRAP that involves Police and Justice </w:t>
      </w:r>
      <w:proofErr w:type="gramStart"/>
      <w:r w:rsidR="00E203D1" w:rsidRPr="00EE6125">
        <w:rPr>
          <w:color w:val="000000"/>
        </w:rPr>
        <w:t>investigations</w:t>
      </w:r>
      <w:proofErr w:type="gramEnd"/>
      <w:r w:rsidR="00E203D1" w:rsidRPr="00EE6125">
        <w:rPr>
          <w:color w:val="000000"/>
        </w:rPr>
        <w:t>”.</w:t>
      </w:r>
    </w:p>
    <w:p w:rsidR="00D00805" w:rsidRPr="000D0C3A" w:rsidRDefault="00D00805" w:rsidP="00D00805">
      <w:pPr>
        <w:pStyle w:val="ColorfulList-Accent11"/>
        <w:rPr>
          <w:lang w:val="en-GB"/>
        </w:rPr>
      </w:pPr>
    </w:p>
    <w:p w:rsidR="00692807" w:rsidRPr="000D0C3A" w:rsidRDefault="009D747B" w:rsidP="003D4233">
      <w:pPr>
        <w:numPr>
          <w:ilvl w:val="0"/>
          <w:numId w:val="2"/>
        </w:numPr>
        <w:tabs>
          <w:tab w:val="num" w:pos="450"/>
        </w:tabs>
        <w:ind w:left="450" w:hanging="450"/>
        <w:jc w:val="both"/>
        <w:rPr>
          <w:lang w:val="en-GB"/>
        </w:rPr>
      </w:pPr>
      <w:r w:rsidRPr="000D0C3A">
        <w:rPr>
          <w:lang w:val="en-GB"/>
        </w:rPr>
        <w:t xml:space="preserve">In his </w:t>
      </w:r>
      <w:r w:rsidRPr="000D0C3A">
        <w:rPr>
          <w:rFonts w:cs="CAGLHH+TimesNewRoman"/>
          <w:color w:val="000000"/>
          <w:lang w:val="en-GB"/>
        </w:rPr>
        <w:t>comments</w:t>
      </w:r>
      <w:r w:rsidRPr="000D0C3A">
        <w:rPr>
          <w:lang w:val="en-GB"/>
        </w:rPr>
        <w:t xml:space="preserve"> on</w:t>
      </w:r>
      <w:r w:rsidR="00901BB9" w:rsidRPr="000D0C3A">
        <w:rPr>
          <w:lang w:val="en-GB"/>
        </w:rPr>
        <w:t xml:space="preserve"> the merits of </w:t>
      </w:r>
      <w:r w:rsidR="00E203D1">
        <w:rPr>
          <w:lang w:val="en-GB"/>
        </w:rPr>
        <w:t xml:space="preserve">all </w:t>
      </w:r>
      <w:r w:rsidR="00DF22D2">
        <w:rPr>
          <w:lang w:val="en-GB"/>
        </w:rPr>
        <w:t xml:space="preserve">the </w:t>
      </w:r>
      <w:r w:rsidR="00E203D1">
        <w:rPr>
          <w:lang w:val="en-GB"/>
        </w:rPr>
        <w:t xml:space="preserve">complaints </w:t>
      </w:r>
      <w:r w:rsidR="00692807" w:rsidRPr="000D0C3A">
        <w:rPr>
          <w:lang w:val="en-GB"/>
        </w:rPr>
        <w:t>under Article 2, the SRSG</w:t>
      </w:r>
      <w:r w:rsidR="00A25A6E" w:rsidRPr="000D0C3A">
        <w:rPr>
          <w:lang w:val="en-GB"/>
        </w:rPr>
        <w:t xml:space="preserve"> </w:t>
      </w:r>
      <w:r w:rsidR="00E203D1">
        <w:rPr>
          <w:lang w:val="en-GB"/>
        </w:rPr>
        <w:t xml:space="preserve">generally </w:t>
      </w:r>
      <w:r w:rsidR="00A25A6E" w:rsidRPr="000D0C3A">
        <w:rPr>
          <w:lang w:val="en-GB"/>
        </w:rPr>
        <w:t xml:space="preserve">states that </w:t>
      </w:r>
      <w:r w:rsidR="00E6650B" w:rsidRPr="000D0C3A">
        <w:rPr>
          <w:lang w:val="en-GB"/>
        </w:rPr>
        <w:t xml:space="preserve">the complainants’ relatives </w:t>
      </w:r>
      <w:r w:rsidR="00A25A6E" w:rsidRPr="000D0C3A">
        <w:rPr>
          <w:lang w:val="en-GB"/>
        </w:rPr>
        <w:t xml:space="preserve">disappeared in </w:t>
      </w:r>
      <w:r w:rsidR="00692807" w:rsidRPr="000D0C3A">
        <w:rPr>
          <w:lang w:val="en-GB"/>
        </w:rPr>
        <w:t>life threatening circumstances</w:t>
      </w:r>
      <w:r w:rsidR="00E6650B" w:rsidRPr="000D0C3A">
        <w:rPr>
          <w:lang w:val="en-GB"/>
        </w:rPr>
        <w:t xml:space="preserve">, around the same time, prior to the adoption of </w:t>
      </w:r>
      <w:r w:rsidR="00C528C8" w:rsidRPr="000D0C3A">
        <w:rPr>
          <w:lang w:val="en-GB"/>
        </w:rPr>
        <w:t>the UNSC Resolution</w:t>
      </w:r>
      <w:r w:rsidR="00D05A60" w:rsidRPr="000D0C3A">
        <w:rPr>
          <w:lang w:val="en-GB"/>
        </w:rPr>
        <w:t xml:space="preserve"> No.</w:t>
      </w:r>
      <w:r w:rsidR="00C528C8" w:rsidRPr="000D0C3A">
        <w:rPr>
          <w:lang w:val="en-GB"/>
        </w:rPr>
        <w:t xml:space="preserve"> 1244</w:t>
      </w:r>
      <w:r w:rsidR="00D05A60" w:rsidRPr="000D0C3A">
        <w:rPr>
          <w:lang w:val="en-GB"/>
        </w:rPr>
        <w:t xml:space="preserve"> (1999)</w:t>
      </w:r>
      <w:r w:rsidR="00C528C8" w:rsidRPr="000D0C3A">
        <w:rPr>
          <w:lang w:val="en-GB"/>
        </w:rPr>
        <w:t xml:space="preserve"> establishing UNMIK</w:t>
      </w:r>
      <w:r w:rsidR="00692807" w:rsidRPr="000D0C3A">
        <w:rPr>
          <w:lang w:val="en-GB"/>
        </w:rPr>
        <w:t>. He notes that</w:t>
      </w:r>
      <w:r w:rsidR="00CE12C1" w:rsidRPr="000D0C3A">
        <w:rPr>
          <w:lang w:val="en-GB"/>
        </w:rPr>
        <w:t xml:space="preserve"> at</w:t>
      </w:r>
      <w:r w:rsidR="00C528C8" w:rsidRPr="000D0C3A">
        <w:rPr>
          <w:lang w:val="en-GB"/>
        </w:rPr>
        <w:t xml:space="preserve"> that time</w:t>
      </w:r>
      <w:r w:rsidR="00692807" w:rsidRPr="000D0C3A">
        <w:rPr>
          <w:lang w:val="en-GB"/>
        </w:rPr>
        <w:t xml:space="preserve"> the security situation in Kosovo</w:t>
      </w:r>
      <w:r w:rsidRPr="000D0C3A">
        <w:rPr>
          <w:lang w:val="en-GB"/>
        </w:rPr>
        <w:t xml:space="preserve"> was tense</w:t>
      </w:r>
      <w:r w:rsidR="00E6650B" w:rsidRPr="000D0C3A">
        <w:rPr>
          <w:lang w:val="en-GB"/>
        </w:rPr>
        <w:t xml:space="preserve"> and there was a high level of violence all over Kosovo due to the on-going armed conflict. Soon after the establishment of UNMIK in June 1999, the security situation remained tense, as </w:t>
      </w:r>
      <w:r w:rsidR="00E203D1">
        <w:rPr>
          <w:lang w:val="en-GB"/>
        </w:rPr>
        <w:t>“</w:t>
      </w:r>
      <w:r w:rsidR="00692807" w:rsidRPr="000D0C3A">
        <w:rPr>
          <w:lang w:val="en-GB"/>
        </w:rPr>
        <w:t>KFOR was still in the process of reaching sufficient strength to maintain public safety and law and order</w:t>
      </w:r>
      <w:r w:rsidRPr="000D0C3A">
        <w:rPr>
          <w:lang w:val="en-GB"/>
        </w:rPr>
        <w:t xml:space="preserve"> and</w:t>
      </w:r>
      <w:r w:rsidR="00B76C09" w:rsidRPr="000D0C3A">
        <w:rPr>
          <w:lang w:val="en-GB"/>
        </w:rPr>
        <w:t xml:space="preserve"> there were a number of serious criminal incidents targeting Kosovo-Serbs, including abductions and killings</w:t>
      </w:r>
      <w:r w:rsidR="00E6650B" w:rsidRPr="000D0C3A">
        <w:rPr>
          <w:lang w:val="en-GB"/>
        </w:rPr>
        <w:t>.</w:t>
      </w:r>
      <w:r w:rsidRPr="000D0C3A">
        <w:rPr>
          <w:lang w:val="en-GB"/>
        </w:rPr>
        <w:t>”</w:t>
      </w:r>
      <w:r w:rsidR="00B76C09" w:rsidRPr="000D0C3A">
        <w:rPr>
          <w:lang w:val="en-GB"/>
        </w:rPr>
        <w:t xml:space="preserve"> </w:t>
      </w:r>
    </w:p>
    <w:p w:rsidR="00692807" w:rsidRPr="000D0C3A" w:rsidRDefault="00692807" w:rsidP="00BE6362">
      <w:pPr>
        <w:tabs>
          <w:tab w:val="num" w:pos="450"/>
        </w:tabs>
        <w:suppressAutoHyphens/>
        <w:autoSpaceDE w:val="0"/>
        <w:ind w:left="450" w:hanging="450"/>
        <w:jc w:val="both"/>
        <w:rPr>
          <w:lang w:val="en-GB"/>
        </w:rPr>
      </w:pPr>
    </w:p>
    <w:p w:rsidR="00901BB9" w:rsidRPr="000D0C3A" w:rsidRDefault="00901BB9" w:rsidP="003D4233">
      <w:pPr>
        <w:numPr>
          <w:ilvl w:val="0"/>
          <w:numId w:val="2"/>
        </w:numPr>
        <w:tabs>
          <w:tab w:val="num" w:pos="450"/>
        </w:tabs>
        <w:ind w:left="450" w:hanging="450"/>
        <w:jc w:val="both"/>
        <w:rPr>
          <w:rFonts w:cs="CAGLHH+TimesNewRoman"/>
          <w:color w:val="000000"/>
          <w:lang w:val="en-GB"/>
        </w:rPr>
      </w:pPr>
      <w:r w:rsidRPr="000D0C3A">
        <w:rPr>
          <w:lang w:val="en-GB"/>
        </w:rPr>
        <w:t>The SRSG accepts UNMIK</w:t>
      </w:r>
      <w:r w:rsidR="00B76C09" w:rsidRPr="000D0C3A">
        <w:rPr>
          <w:lang w:val="en-GB"/>
        </w:rPr>
        <w:t>’s</w:t>
      </w:r>
      <w:r w:rsidRPr="000D0C3A">
        <w:rPr>
          <w:lang w:val="en-GB"/>
        </w:rPr>
        <w:t xml:space="preserve"> responsibility</w:t>
      </w:r>
      <w:r w:rsidR="00B76C09" w:rsidRPr="000D0C3A">
        <w:rPr>
          <w:lang w:val="en-GB"/>
        </w:rPr>
        <w:t xml:space="preserve"> to</w:t>
      </w:r>
      <w:r w:rsidRPr="000D0C3A">
        <w:rPr>
          <w:lang w:val="en-GB"/>
        </w:rPr>
        <w:t xml:space="preserve"> conduct an investigation</w:t>
      </w:r>
      <w:r w:rsidR="00B76C09" w:rsidRPr="000D0C3A">
        <w:rPr>
          <w:lang w:val="en-GB"/>
        </w:rPr>
        <w:t xml:space="preserve"> in the case</w:t>
      </w:r>
      <w:r w:rsidR="00A4704B" w:rsidRPr="000D0C3A">
        <w:rPr>
          <w:lang w:val="en-GB"/>
        </w:rPr>
        <w:t>s</w:t>
      </w:r>
      <w:r w:rsidR="00B76C09" w:rsidRPr="000D0C3A">
        <w:rPr>
          <w:lang w:val="en-GB"/>
        </w:rPr>
        <w:t xml:space="preserve"> of </w:t>
      </w:r>
      <w:r w:rsidR="00E203D1" w:rsidRPr="00962637">
        <w:t xml:space="preserve">Mrs </w:t>
      </w:r>
      <w:proofErr w:type="spellStart"/>
      <w:r w:rsidR="00E203D1" w:rsidRPr="00962637">
        <w:t>Dar</w:t>
      </w:r>
      <w:r w:rsidR="00E203D1">
        <w:t>inka</w:t>
      </w:r>
      <w:proofErr w:type="spellEnd"/>
      <w:r w:rsidR="00E203D1" w:rsidRPr="00962637">
        <w:t xml:space="preserve"> </w:t>
      </w:r>
      <w:proofErr w:type="spellStart"/>
      <w:r w:rsidR="00E203D1" w:rsidRPr="00962637">
        <w:t>Šutaković</w:t>
      </w:r>
      <w:proofErr w:type="spellEnd"/>
      <w:r w:rsidR="00E203D1">
        <w:t xml:space="preserve">, </w:t>
      </w:r>
      <w:r w:rsidR="00E203D1" w:rsidRPr="00962637">
        <w:t xml:space="preserve">Mr </w:t>
      </w:r>
      <w:proofErr w:type="spellStart"/>
      <w:r w:rsidR="00E203D1" w:rsidRPr="00962637">
        <w:t>Nedeljko</w:t>
      </w:r>
      <w:proofErr w:type="spellEnd"/>
      <w:r w:rsidR="00E203D1" w:rsidRPr="00962637">
        <w:t xml:space="preserve"> </w:t>
      </w:r>
      <w:proofErr w:type="spellStart"/>
      <w:r w:rsidR="00E203D1" w:rsidRPr="00962637">
        <w:t>Šutaković</w:t>
      </w:r>
      <w:proofErr w:type="spellEnd"/>
      <w:r w:rsidR="00E203D1" w:rsidRPr="00962637">
        <w:t xml:space="preserve">, </w:t>
      </w:r>
      <w:r w:rsidR="00E203D1">
        <w:t xml:space="preserve">Mr </w:t>
      </w:r>
      <w:r w:rsidR="00E203D1" w:rsidRPr="00962637">
        <w:t xml:space="preserve">Radovan </w:t>
      </w:r>
      <w:proofErr w:type="spellStart"/>
      <w:r w:rsidR="00E203D1" w:rsidRPr="00962637">
        <w:t>Šutaković</w:t>
      </w:r>
      <w:proofErr w:type="spellEnd"/>
      <w:r w:rsidR="00E203D1">
        <w:t>,</w:t>
      </w:r>
      <w:r w:rsidR="00E203D1" w:rsidRPr="00A70075">
        <w:t xml:space="preserve"> </w:t>
      </w:r>
      <w:r w:rsidR="00E203D1">
        <w:t xml:space="preserve">Mr </w:t>
      </w:r>
      <w:proofErr w:type="spellStart"/>
      <w:r w:rsidR="00E203D1" w:rsidRPr="00962637">
        <w:t>Ðorđe</w:t>
      </w:r>
      <w:proofErr w:type="spellEnd"/>
      <w:r w:rsidR="00E203D1" w:rsidRPr="00962637">
        <w:t xml:space="preserve"> </w:t>
      </w:r>
      <w:proofErr w:type="spellStart"/>
      <w:r w:rsidR="00E203D1" w:rsidRPr="00962637">
        <w:t>Šutaković</w:t>
      </w:r>
      <w:proofErr w:type="spellEnd"/>
      <w:r w:rsidR="00E203D1">
        <w:t xml:space="preserve">, Mr </w:t>
      </w:r>
      <w:proofErr w:type="spellStart"/>
      <w:r w:rsidR="00E203D1">
        <w:t>Aleksandar</w:t>
      </w:r>
      <w:proofErr w:type="spellEnd"/>
      <w:r w:rsidR="00E203D1">
        <w:t xml:space="preserve"> </w:t>
      </w:r>
      <w:proofErr w:type="spellStart"/>
      <w:r w:rsidR="00E203D1" w:rsidRPr="00F35DD1">
        <w:t>Šutaković</w:t>
      </w:r>
      <w:proofErr w:type="spellEnd"/>
      <w:r w:rsidR="00E203D1" w:rsidRPr="00F35DD1">
        <w:t xml:space="preserve">, </w:t>
      </w:r>
      <w:r w:rsidR="00E203D1">
        <w:t xml:space="preserve">Mr </w:t>
      </w:r>
      <w:proofErr w:type="spellStart"/>
      <w:r w:rsidR="00E203D1">
        <w:t>Milenko</w:t>
      </w:r>
      <w:proofErr w:type="spellEnd"/>
      <w:r w:rsidR="00E203D1">
        <w:t xml:space="preserve"> </w:t>
      </w:r>
      <w:proofErr w:type="spellStart"/>
      <w:r w:rsidR="00E203D1">
        <w:t>Kabaš</w:t>
      </w:r>
      <w:proofErr w:type="spellEnd"/>
      <w:r w:rsidR="00E203D1">
        <w:t xml:space="preserve">, </w:t>
      </w:r>
      <w:r w:rsidR="00E203D1" w:rsidRPr="00F35DD1">
        <w:rPr>
          <w:lang w:val="en-GB"/>
        </w:rPr>
        <w:t xml:space="preserve">Mr </w:t>
      </w:r>
      <w:proofErr w:type="spellStart"/>
      <w:r w:rsidR="00E203D1" w:rsidRPr="00F35DD1">
        <w:rPr>
          <w:lang w:val="en-GB"/>
        </w:rPr>
        <w:t>Mića</w:t>
      </w:r>
      <w:proofErr w:type="spellEnd"/>
      <w:r w:rsidR="00E203D1" w:rsidRPr="00F35DD1">
        <w:rPr>
          <w:lang w:val="en-GB"/>
        </w:rPr>
        <w:t xml:space="preserve"> </w:t>
      </w:r>
      <w:proofErr w:type="spellStart"/>
      <w:r w:rsidR="00E203D1" w:rsidRPr="00F35DD1">
        <w:rPr>
          <w:lang w:val="en-GB"/>
        </w:rPr>
        <w:t>Petrović</w:t>
      </w:r>
      <w:proofErr w:type="spellEnd"/>
      <w:r w:rsidR="00E203D1" w:rsidRPr="00F35DD1">
        <w:rPr>
          <w:lang w:val="en-GB"/>
        </w:rPr>
        <w:t xml:space="preserve"> and Mrs Radmila </w:t>
      </w:r>
      <w:proofErr w:type="spellStart"/>
      <w:r w:rsidR="00E203D1" w:rsidRPr="00F35DD1">
        <w:rPr>
          <w:lang w:val="en-GB"/>
        </w:rPr>
        <w:t>Petrović</w:t>
      </w:r>
      <w:proofErr w:type="spellEnd"/>
      <w:r w:rsidR="00E6650B" w:rsidRPr="000D0C3A">
        <w:rPr>
          <w:rFonts w:cs="CAGLHH+TimesNewRoman"/>
          <w:color w:val="000000"/>
          <w:lang w:val="en-GB"/>
        </w:rPr>
        <w:t xml:space="preserve"> </w:t>
      </w:r>
      <w:r w:rsidR="00B76C09" w:rsidRPr="000D0C3A">
        <w:rPr>
          <w:rFonts w:cs="CAGLHH+TimesNewRoman"/>
          <w:color w:val="000000"/>
          <w:lang w:val="en-GB"/>
        </w:rPr>
        <w:t>under Article 2 of the ECHR, procedural part</w:t>
      </w:r>
      <w:r w:rsidR="00A4704B" w:rsidRPr="000D0C3A">
        <w:rPr>
          <w:rFonts w:cs="CAGLHH+TimesNewRoman"/>
          <w:color w:val="000000"/>
          <w:lang w:val="en-GB"/>
        </w:rPr>
        <w:t>, starting from 11 June 1999</w:t>
      </w:r>
      <w:r w:rsidRPr="000D0C3A">
        <w:rPr>
          <w:rFonts w:cs="CAGLHH+TimesNewRoman"/>
          <w:color w:val="000000"/>
          <w:lang w:val="en-GB"/>
        </w:rPr>
        <w:t xml:space="preserve">. In the words of the SRSG, “the essential purpose of such investigation </w:t>
      </w:r>
      <w:r w:rsidR="00E6650B" w:rsidRPr="000D0C3A">
        <w:rPr>
          <w:rFonts w:cs="CAGLHH+TimesNewRoman"/>
          <w:color w:val="000000"/>
          <w:lang w:val="en-GB"/>
        </w:rPr>
        <w:t>[was]</w:t>
      </w:r>
      <w:r w:rsidRPr="000D0C3A">
        <w:rPr>
          <w:rFonts w:cs="CAGLHH+TimesNewRoman"/>
          <w:color w:val="000000"/>
          <w:lang w:val="en-GB"/>
        </w:rPr>
        <w:t xml:space="preserve">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w:t>
      </w:r>
      <w:r w:rsidR="00E6650B" w:rsidRPr="000D0C3A">
        <w:rPr>
          <w:rFonts w:cs="CAGLHH+TimesNewRoman"/>
          <w:color w:val="000000"/>
          <w:lang w:val="en-GB"/>
        </w:rPr>
        <w:t>.</w:t>
      </w:r>
      <w:r w:rsidRPr="000D0C3A">
        <w:rPr>
          <w:rFonts w:cs="CAGLHH+TimesNewRoman"/>
          <w:color w:val="000000"/>
          <w:lang w:val="en-GB"/>
        </w:rPr>
        <w:t xml:space="preserve">” </w:t>
      </w:r>
    </w:p>
    <w:p w:rsidR="00B76C09" w:rsidRPr="000D0C3A" w:rsidRDefault="00B76C09" w:rsidP="00D9184B">
      <w:pPr>
        <w:ind w:left="450"/>
        <w:jc w:val="both"/>
        <w:rPr>
          <w:rFonts w:cs="CAGLHH+TimesNewRoman"/>
          <w:color w:val="000000"/>
          <w:lang w:val="en-GB"/>
        </w:rPr>
      </w:pPr>
    </w:p>
    <w:p w:rsidR="00B76C09" w:rsidRPr="000D0C3A" w:rsidRDefault="00B76C09" w:rsidP="003D4233">
      <w:pPr>
        <w:numPr>
          <w:ilvl w:val="0"/>
          <w:numId w:val="2"/>
        </w:numPr>
        <w:tabs>
          <w:tab w:val="num" w:pos="450"/>
        </w:tabs>
        <w:ind w:left="450" w:hanging="450"/>
        <w:jc w:val="both"/>
        <w:rPr>
          <w:lang w:val="en-GB"/>
        </w:rPr>
      </w:pPr>
      <w:r w:rsidRPr="000D0C3A">
        <w:rPr>
          <w:rFonts w:cs="CAGLHH+TimesNewRoman"/>
          <w:color w:val="000000"/>
          <w:lang w:val="en-GB"/>
        </w:rPr>
        <w:lastRenderedPageBreak/>
        <w:t xml:space="preserve">The SRSG notes that </w:t>
      </w:r>
      <w:r w:rsidR="00C528C8" w:rsidRPr="000D0C3A">
        <w:rPr>
          <w:rFonts w:cs="CAGLHH+TimesNewRoman"/>
          <w:color w:val="000000"/>
          <w:lang w:val="en-GB"/>
        </w:rPr>
        <w:t>the complainants do not allege a violation of the substantive part of Article 2,</w:t>
      </w:r>
      <w:r w:rsidR="00C528C8" w:rsidRPr="000D0C3A">
        <w:rPr>
          <w:lang w:val="en-GB"/>
        </w:rPr>
        <w:t xml:space="preserve"> but rather of its procedural element. The SRSG states that </w:t>
      </w:r>
      <w:r w:rsidRPr="000D0C3A">
        <w:rPr>
          <w:lang w:val="en-GB"/>
        </w:rPr>
        <w:t>“the procedural element of Article 2 is essentially two-fold: (i) a</w:t>
      </w:r>
      <w:r w:rsidR="009D747B" w:rsidRPr="000D0C3A">
        <w:rPr>
          <w:lang w:val="en-GB"/>
        </w:rPr>
        <w:t>n</w:t>
      </w:r>
      <w:r w:rsidRPr="000D0C3A">
        <w:rPr>
          <w:lang w:val="en-GB"/>
        </w:rPr>
        <w:t xml:space="preserve"> obligation to determine through investigation the fate and/or whereabouts of the victim; and (ii) an obligation to conduct an investigation capable of determining whether the death was caused unlawfully and leading to the identification and punishment of those responsible for the disappearance and/or death of the victim</w:t>
      </w:r>
      <w:r w:rsidR="009D747B" w:rsidRPr="000D0C3A">
        <w:rPr>
          <w:lang w:val="en-GB"/>
        </w:rPr>
        <w:t>.”</w:t>
      </w:r>
      <w:r w:rsidRPr="000D0C3A">
        <w:rPr>
          <w:lang w:val="en-GB"/>
        </w:rPr>
        <w:t xml:space="preserve"> </w:t>
      </w:r>
    </w:p>
    <w:p w:rsidR="00C15EEE" w:rsidRPr="000D0C3A" w:rsidRDefault="00C15EEE" w:rsidP="00BE6362">
      <w:pPr>
        <w:tabs>
          <w:tab w:val="num" w:pos="450"/>
        </w:tabs>
        <w:ind w:left="450" w:hanging="450"/>
        <w:rPr>
          <w:color w:val="FF0000"/>
          <w:lang w:val="en-GB"/>
        </w:rPr>
      </w:pPr>
    </w:p>
    <w:p w:rsidR="002E5E9E" w:rsidRPr="000D0C3A" w:rsidRDefault="00BF3FB5" w:rsidP="003D4233">
      <w:pPr>
        <w:numPr>
          <w:ilvl w:val="0"/>
          <w:numId w:val="2"/>
        </w:numPr>
        <w:tabs>
          <w:tab w:val="num" w:pos="450"/>
        </w:tabs>
        <w:ind w:left="450" w:hanging="450"/>
        <w:jc w:val="both"/>
      </w:pPr>
      <w:r w:rsidRPr="000D0C3A">
        <w:t xml:space="preserve">The </w:t>
      </w:r>
      <w:r w:rsidRPr="000D0C3A">
        <w:rPr>
          <w:rFonts w:cs="CAGLHH+TimesNewRoman"/>
          <w:color w:val="000000"/>
          <w:lang w:val="en-GB"/>
        </w:rPr>
        <w:t>SRSG</w:t>
      </w:r>
      <w:r w:rsidRPr="000D0C3A">
        <w:t xml:space="preserve"> further observes that when determining applications under Article 2, </w:t>
      </w:r>
      <w:r w:rsidR="009F1462" w:rsidRPr="000D0C3A">
        <w:t xml:space="preserve">procedural part, </w:t>
      </w:r>
      <w:r w:rsidRPr="000D0C3A">
        <w:t xml:space="preserve">consideration must be given to not imposing an impossible or disproportionate burden on UNMIK. In this regard, the SRSG recalls the judgment of 15 February 2011 rendered by the European Court of Human Rights in the case </w:t>
      </w:r>
      <w:r w:rsidRPr="000D0C3A">
        <w:rPr>
          <w:i/>
        </w:rPr>
        <w:t>Palić v. Bosnia and Herzegovina</w:t>
      </w:r>
      <w:r w:rsidRPr="000D0C3A">
        <w:t>, stating at paragraph 70:</w:t>
      </w:r>
    </w:p>
    <w:p w:rsidR="002E5E9E" w:rsidRPr="000D0C3A" w:rsidRDefault="002E5E9E" w:rsidP="002E5E9E">
      <w:pPr>
        <w:pStyle w:val="ColorfulList-Accent11"/>
        <w:ind w:left="900"/>
      </w:pPr>
    </w:p>
    <w:p w:rsidR="002E5E9E" w:rsidRPr="000D0C3A" w:rsidRDefault="00BF3FB5" w:rsidP="00DA035A">
      <w:pPr>
        <w:pStyle w:val="ColorfulList-Accent11"/>
        <w:tabs>
          <w:tab w:val="num" w:pos="284"/>
        </w:tabs>
        <w:autoSpaceDE w:val="0"/>
        <w:ind w:left="851" w:right="425"/>
        <w:contextualSpacing/>
        <w:jc w:val="both"/>
      </w:pPr>
      <w:r w:rsidRPr="000D0C3A">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r w:rsidR="00FB1C92" w:rsidRPr="000D0C3A">
        <w:t xml:space="preserve">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proofErr w:type="spellStart"/>
      <w:r w:rsidR="00FB1C92" w:rsidRPr="000D0C3A">
        <w:rPr>
          <w:i/>
        </w:rPr>
        <w:t>Sejdić</w:t>
      </w:r>
      <w:proofErr w:type="spellEnd"/>
      <w:r w:rsidR="00FB1C92" w:rsidRPr="000D0C3A">
        <w:rPr>
          <w:i/>
        </w:rPr>
        <w:t xml:space="preserve"> and </w:t>
      </w:r>
      <w:proofErr w:type="spellStart"/>
      <w:r w:rsidR="00FB1C92" w:rsidRPr="000D0C3A">
        <w:rPr>
          <w:i/>
        </w:rPr>
        <w:t>Finci</w:t>
      </w:r>
      <w:proofErr w:type="spellEnd"/>
      <w:r w:rsidR="00FB1C92" w:rsidRPr="000D0C3A">
        <w:rPr>
          <w:i/>
        </w:rPr>
        <w:t xml:space="preserve"> v. Bosnia and Herzegovina </w:t>
      </w:r>
      <w:r w:rsidR="00FB1C92" w:rsidRPr="000D0C3A">
        <w:t xml:space="preserve">[GC], </w:t>
      </w:r>
      <w:proofErr w:type="spellStart"/>
      <w:r w:rsidR="000253E8" w:rsidRPr="000D0C3A">
        <w:t>nos</w:t>
      </w:r>
      <w:proofErr w:type="spellEnd"/>
      <w:r w:rsidR="00FB1C92" w:rsidRPr="000D0C3A">
        <w:t xml:space="preserve"> 27996/06 and 34836/06</w:t>
      </w:r>
      <w:r w:rsidR="00FB1C92" w:rsidRPr="000D0C3A">
        <w:rPr>
          <w:snapToGrid w:val="0"/>
        </w:rPr>
        <w:t xml:space="preserve">, </w:t>
      </w:r>
      <w:r w:rsidR="00FB1C92" w:rsidRPr="000D0C3A">
        <w:t>ECHR 2009</w:t>
      </w:r>
      <w:r w:rsidR="00FB1C92" w:rsidRPr="000D0C3A">
        <w:noBreakHyphen/>
        <w:t>...</w:t>
      </w:r>
      <w:r w:rsidR="00FB1C92" w:rsidRPr="000D0C3A">
        <w:rPr>
          <w:snapToGrid w:val="0"/>
        </w:rPr>
        <w:t>)</w:t>
      </w:r>
      <w:r w:rsidR="00FB1C92" w:rsidRPr="000D0C3A">
        <w:t xml:space="preserve">,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0D0C3A">
        <w:rPr>
          <w:lang w:eastAsia="en-GB"/>
        </w:rPr>
        <w:t>comprehensive vetting of the appointment of police and judiciary</w:t>
      </w:r>
      <w:r w:rsidR="00FB1C92" w:rsidRPr="000D0C3A">
        <w:t xml:space="preserve"> and the establishment of the War Crimes Sections within the Court of Bosnia and Herzegovina.</w:t>
      </w:r>
    </w:p>
    <w:p w:rsidR="002E5E9E" w:rsidRPr="000D0C3A" w:rsidRDefault="002E5E9E" w:rsidP="002E5E9E">
      <w:pPr>
        <w:tabs>
          <w:tab w:val="num" w:pos="450"/>
        </w:tabs>
        <w:autoSpaceDE w:val="0"/>
        <w:ind w:left="180"/>
        <w:contextualSpacing/>
        <w:jc w:val="both"/>
      </w:pPr>
    </w:p>
    <w:p w:rsidR="00BF3FB5" w:rsidRPr="000D0C3A" w:rsidRDefault="00FB1C92" w:rsidP="00DA035A">
      <w:pPr>
        <w:pStyle w:val="ColorfulList-Accent11"/>
        <w:tabs>
          <w:tab w:val="num" w:pos="284"/>
        </w:tabs>
        <w:autoSpaceDE w:val="0"/>
        <w:ind w:left="851" w:right="425"/>
        <w:contextualSpacing/>
        <w:jc w:val="both"/>
      </w:pPr>
      <w:r w:rsidRPr="000D0C3A">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r w:rsidR="00BF3FB5" w:rsidRPr="000D0C3A">
        <w:t>”</w:t>
      </w:r>
      <w:r w:rsidR="004723E7" w:rsidRPr="000D0C3A">
        <w:t>.</w:t>
      </w:r>
    </w:p>
    <w:p w:rsidR="00BF3FB5" w:rsidRPr="000D0C3A" w:rsidRDefault="00BF3FB5" w:rsidP="00BE6362">
      <w:pPr>
        <w:tabs>
          <w:tab w:val="num" w:pos="450"/>
        </w:tabs>
        <w:suppressAutoHyphens/>
        <w:ind w:left="450" w:hanging="450"/>
        <w:jc w:val="both"/>
      </w:pPr>
    </w:p>
    <w:p w:rsidR="00A4704B" w:rsidRPr="000D0C3A" w:rsidRDefault="00BF3FB5" w:rsidP="003D4233">
      <w:pPr>
        <w:numPr>
          <w:ilvl w:val="0"/>
          <w:numId w:val="2"/>
        </w:numPr>
        <w:tabs>
          <w:tab w:val="num" w:pos="450"/>
        </w:tabs>
        <w:ind w:left="450" w:hanging="450"/>
        <w:jc w:val="both"/>
        <w:rPr>
          <w:i/>
        </w:rPr>
      </w:pPr>
      <w:r w:rsidRPr="000D0C3A">
        <w:t>In the view of the SRSG, UNMIK was faced with a very similar situation in Kosovo</w:t>
      </w:r>
      <w:r w:rsidR="00E203D1">
        <w:t xml:space="preserve">, </w:t>
      </w:r>
      <w:r w:rsidR="001C086C" w:rsidRPr="000D0C3A">
        <w:t xml:space="preserve">from 1999 to </w:t>
      </w:r>
      <w:r w:rsidR="001C086C" w:rsidRPr="000D0C3A">
        <w:rPr>
          <w:rFonts w:cs="CAGLHH+TimesNewRoman"/>
          <w:color w:val="000000"/>
          <w:lang w:val="en-GB"/>
        </w:rPr>
        <w:t>2008</w:t>
      </w:r>
      <w:r w:rsidR="00E203D1">
        <w:rPr>
          <w:rFonts w:cs="CAGLHH+TimesNewRoman"/>
          <w:color w:val="000000"/>
          <w:lang w:val="en-GB"/>
        </w:rPr>
        <w:t xml:space="preserve">, </w:t>
      </w:r>
      <w:r w:rsidRPr="000D0C3A">
        <w:t xml:space="preserve">as the one in Bosnia </w:t>
      </w:r>
      <w:r w:rsidR="001C086C" w:rsidRPr="000D0C3A">
        <w:t>“from 1995 to 2005”</w:t>
      </w:r>
      <w:r w:rsidRPr="000D0C3A">
        <w:t>. The SRSG states that thousands of people were displaced or went missing</w:t>
      </w:r>
      <w:r w:rsidR="009E7C94" w:rsidRPr="000D0C3A">
        <w:t xml:space="preserve"> during the Kosovo conflict</w:t>
      </w:r>
      <w:r w:rsidRPr="000D0C3A">
        <w:t xml:space="preserve">. Many of the persons </w:t>
      </w:r>
      <w:r w:rsidRPr="000D0C3A">
        <w:lastRenderedPageBreak/>
        <w:t xml:space="preserve">who went missing were abducted, killed, and buried in unmarked graves inside or outside Kosovo, which made it very difficult locating and recovering their mortal remains. </w:t>
      </w:r>
    </w:p>
    <w:p w:rsidR="00A4704B" w:rsidRPr="000D0C3A" w:rsidRDefault="00A4704B" w:rsidP="00BE6362">
      <w:pPr>
        <w:pStyle w:val="Default"/>
        <w:tabs>
          <w:tab w:val="num" w:pos="450"/>
          <w:tab w:val="left" w:pos="720"/>
        </w:tabs>
        <w:ind w:left="450" w:hanging="450"/>
        <w:jc w:val="both"/>
        <w:rPr>
          <w:i/>
          <w:color w:val="auto"/>
        </w:rPr>
      </w:pPr>
    </w:p>
    <w:p w:rsidR="00EB1431" w:rsidRPr="00EB1431" w:rsidRDefault="00BF3FB5" w:rsidP="003D4233">
      <w:pPr>
        <w:numPr>
          <w:ilvl w:val="0"/>
          <w:numId w:val="2"/>
        </w:numPr>
        <w:tabs>
          <w:tab w:val="num" w:pos="450"/>
        </w:tabs>
        <w:ind w:left="450" w:hanging="450"/>
        <w:jc w:val="both"/>
        <w:rPr>
          <w:i/>
        </w:rPr>
      </w:pPr>
      <w:bookmarkStart w:id="64" w:name="_Ref404767716"/>
      <w:r w:rsidRPr="000D0C3A">
        <w:t xml:space="preserve">In June 2002, UNMIK created the OMPF with the mandate to determine the fate of the missing; however its work was faced with many challenges at the beginning of the operations, </w:t>
      </w:r>
      <w:r w:rsidRPr="000D0C3A">
        <w:rPr>
          <w:rFonts w:cs="CAGLHH+TimesNewRoman"/>
          <w:color w:val="000000"/>
          <w:lang w:val="en-GB"/>
        </w:rPr>
        <w:t>due</w:t>
      </w:r>
      <w:r w:rsidRPr="000D0C3A">
        <w:t xml:space="preserve"> to the work previously done mostly by actors independent from UNMIK. In particular, the SRSG states that the collection of evidence of war crimes began with the arrival of NATO in 1999 with independent teams from several countries operating under the </w:t>
      </w:r>
      <w:r w:rsidR="00BE7560" w:rsidRPr="000D0C3A">
        <w:t xml:space="preserve">loose coordination of the ICTY. </w:t>
      </w:r>
      <w:r w:rsidRPr="000D0C3A">
        <w:t xml:space="preserve">A lack of standard operating procedures or </w:t>
      </w:r>
      <w:proofErr w:type="spellStart"/>
      <w:r w:rsidRPr="000D0C3A">
        <w:t>centralisation</w:t>
      </w:r>
      <w:proofErr w:type="spellEnd"/>
      <w:r w:rsidRPr="000D0C3A">
        <w:t xml:space="preserve"> led to problems with the evidence gathered in this phase. In 2000, the ICTY launched a large, </w:t>
      </w:r>
      <w:proofErr w:type="spellStart"/>
      <w:r w:rsidRPr="000D0C3A">
        <w:t>centralised</w:t>
      </w:r>
      <w:proofErr w:type="spellEnd"/>
      <w:r w:rsidRPr="000D0C3A">
        <w:t xml:space="preserve"> forensic operation, based at the Rahovec/Orahovac mortuary, with standard operating procedures for all forensic teams except the British one, which operated independently out of Prishtinë/Priština.</w:t>
      </w:r>
      <w:bookmarkEnd w:id="64"/>
    </w:p>
    <w:p w:rsidR="00EB1431" w:rsidRDefault="00EB1431" w:rsidP="00EB1431">
      <w:pPr>
        <w:pStyle w:val="ColorfulList-Accent11"/>
      </w:pPr>
    </w:p>
    <w:p w:rsidR="00667526" w:rsidRPr="00EB1431" w:rsidRDefault="00BF3FB5" w:rsidP="003D4233">
      <w:pPr>
        <w:numPr>
          <w:ilvl w:val="0"/>
          <w:numId w:val="2"/>
        </w:numPr>
        <w:tabs>
          <w:tab w:val="num" w:pos="450"/>
        </w:tabs>
        <w:ind w:left="450" w:hanging="450"/>
        <w:jc w:val="both"/>
        <w:rPr>
          <w:i/>
        </w:rPr>
      </w:pPr>
      <w:bookmarkStart w:id="65" w:name="_Ref404767717"/>
      <w:r w:rsidRPr="000D0C3A">
        <w:t xml:space="preserve">The SRSG </w:t>
      </w:r>
      <w:r w:rsidR="00EB1431">
        <w:t xml:space="preserve">continues </w:t>
      </w:r>
      <w:bookmarkStart w:id="66" w:name="_Ref404611991"/>
      <w:r w:rsidR="00EB1431">
        <w:t xml:space="preserve">in this regard that: “Even more serious that the shortfall of the forensic standards was the lack of attention paid to the humanitarian agenda of identifying bodies and restituting their remains […]. In a focused effort to demonstrate that crimes were systematic and widespread, ICTY and </w:t>
      </w:r>
      <w:r w:rsidR="00EB1431" w:rsidRPr="00EE6125">
        <w:rPr>
          <w:color w:val="000000"/>
        </w:rPr>
        <w:t xml:space="preserve">its gratis teams </w:t>
      </w:r>
      <w:r w:rsidR="00EB1431">
        <w:t xml:space="preserve">autopsied as many bodies as possible with little or no identification work. ICTY reports that it exhumed 4019 bodies in 1999 </w:t>
      </w:r>
      <w:proofErr w:type="spellStart"/>
      <w:r w:rsidR="00EB1431">
        <w:t>an</w:t>
      </w:r>
      <w:proofErr w:type="spellEnd"/>
      <w:r w:rsidR="00EB1431">
        <w:t xml:space="preserve"> 2000, less than half of which were identified; furthermore, some of the unidentified bodies exhumed in 1999 by gratis teams were reburied in locations still unknown to OMPF.”</w:t>
      </w:r>
      <w:bookmarkEnd w:id="66"/>
      <w:r w:rsidR="00EB1431">
        <w:t xml:space="preserve"> </w:t>
      </w:r>
      <w:r w:rsidRPr="000D0C3A">
        <w:t>After the ICTY closed their operation in 2000, the UNMIK Police MPU continued small-scale investigations on missing persons “</w:t>
      </w:r>
      <w:r w:rsidRPr="00EB1431">
        <w:rPr>
          <w:i/>
        </w:rPr>
        <w:t>ex-officio</w:t>
      </w:r>
      <w:r w:rsidRPr="000D0C3A">
        <w:t>, without any broader prosecutorial strategy”. As a consequence, a large amount of unstruct</w:t>
      </w:r>
      <w:r w:rsidR="00EB1431">
        <w:t>ured information was collected.</w:t>
      </w:r>
      <w:bookmarkEnd w:id="65"/>
    </w:p>
    <w:p w:rsidR="00667526" w:rsidRPr="000D0C3A" w:rsidRDefault="00667526" w:rsidP="00BE6362">
      <w:pPr>
        <w:pStyle w:val="ColorfulList-Accent11"/>
        <w:tabs>
          <w:tab w:val="num" w:pos="450"/>
        </w:tabs>
        <w:suppressAutoHyphens w:val="0"/>
        <w:ind w:left="450" w:hanging="450"/>
        <w:contextualSpacing/>
        <w:jc w:val="both"/>
      </w:pPr>
    </w:p>
    <w:p w:rsidR="00477745" w:rsidRPr="000D0C3A" w:rsidRDefault="00667526" w:rsidP="003D4233">
      <w:pPr>
        <w:numPr>
          <w:ilvl w:val="0"/>
          <w:numId w:val="2"/>
        </w:numPr>
        <w:tabs>
          <w:tab w:val="num" w:pos="450"/>
        </w:tabs>
        <w:ind w:left="450" w:hanging="450"/>
        <w:jc w:val="both"/>
      </w:pPr>
      <w:r w:rsidRPr="000D0C3A">
        <w:t xml:space="preserve">The SRSG states that locating and identifying the missing in the context described above is a very difficult and time-consuming task. He further states that the number of missing persons recovered and identified by OMPF is “testament to the </w:t>
      </w:r>
      <w:proofErr w:type="spellStart"/>
      <w:r w:rsidRPr="000D0C3A">
        <w:t>vigo</w:t>
      </w:r>
      <w:r w:rsidR="009D747B" w:rsidRPr="000D0C3A">
        <w:t>u</w:t>
      </w:r>
      <w:r w:rsidRPr="000D0C3A">
        <w:t>r</w:t>
      </w:r>
      <w:proofErr w:type="spellEnd"/>
      <w:r w:rsidRPr="000D0C3A">
        <w:t xml:space="preserve"> of its work </w:t>
      </w:r>
      <w:proofErr w:type="gramStart"/>
      <w:r w:rsidRPr="000D0C3A">
        <w:t>between</w:t>
      </w:r>
      <w:r w:rsidR="003017F3">
        <w:t xml:space="preserve"> </w:t>
      </w:r>
      <w:r w:rsidRPr="000D0C3A">
        <w:t>2002-2008</w:t>
      </w:r>
      <w:proofErr w:type="gramEnd"/>
      <w:r w:rsidRPr="000D0C3A">
        <w:t>” and that “more bodies continued to be located in burial sites and more identification</w:t>
      </w:r>
      <w:r w:rsidR="009D747B" w:rsidRPr="000D0C3A">
        <w:t>s</w:t>
      </w:r>
      <w:r w:rsidRPr="000D0C3A">
        <w:t xml:space="preserve"> and returns to family members are taking place, often based on information contained in UNMIK-OMPF files”. </w:t>
      </w:r>
      <w:r w:rsidR="00BF3FB5" w:rsidRPr="000D0C3A">
        <w:t xml:space="preserve"> </w:t>
      </w:r>
      <w:r w:rsidRPr="000D0C3A">
        <w:t xml:space="preserve">The SRSG continues that </w:t>
      </w:r>
      <w:r w:rsidR="00BF3FB5" w:rsidRPr="000D0C3A">
        <w:t>“</w:t>
      </w:r>
      <w:r w:rsidRPr="000D0C3A">
        <w:t>therefore</w:t>
      </w:r>
      <w:r w:rsidR="009D747B" w:rsidRPr="000D0C3A">
        <w:t>,</w:t>
      </w:r>
      <w:r w:rsidRPr="000D0C3A">
        <w:t xml:space="preserve"> it is apparent that </w:t>
      </w:r>
      <w:r w:rsidR="00BF3FB5" w:rsidRPr="000D0C3A">
        <w:t xml:space="preserve">the process </w:t>
      </w:r>
      <w:r w:rsidR="009D747B" w:rsidRPr="000D0C3A">
        <w:t xml:space="preserve">for establishing a system capable of </w:t>
      </w:r>
      <w:r w:rsidR="00BF3FB5" w:rsidRPr="000D0C3A">
        <w:t xml:space="preserve">dealing effectively with disappearances and other serious violations of international humanitarian law has been </w:t>
      </w:r>
      <w:r w:rsidR="009D747B" w:rsidRPr="000D0C3A">
        <w:t xml:space="preserve">an </w:t>
      </w:r>
      <w:r w:rsidR="00BF3FB5" w:rsidRPr="000D0C3A">
        <w:rPr>
          <w:rFonts w:cs="CAGLHH+TimesNewRoman"/>
          <w:color w:val="000000"/>
          <w:lang w:val="en-GB"/>
        </w:rPr>
        <w:t>understandably</w:t>
      </w:r>
      <w:r w:rsidR="00BF3FB5" w:rsidRPr="000D0C3A">
        <w:t xml:space="preserve"> incremental</w:t>
      </w:r>
      <w:r w:rsidR="009D747B" w:rsidRPr="000D0C3A">
        <w:t xml:space="preserve"> one” in Kosovo as</w:t>
      </w:r>
      <w:r w:rsidR="00BF3FB5" w:rsidRPr="000D0C3A">
        <w:t xml:space="preserve"> reflected in the </w:t>
      </w:r>
      <w:r w:rsidR="00BF3FB5" w:rsidRPr="000D0C3A">
        <w:rPr>
          <w:i/>
        </w:rPr>
        <w:t>Palić</w:t>
      </w:r>
      <w:r w:rsidR="002E1AC9" w:rsidRPr="000D0C3A">
        <w:rPr>
          <w:i/>
        </w:rPr>
        <w:t xml:space="preserve"> </w:t>
      </w:r>
      <w:r w:rsidR="00BF3FB5" w:rsidRPr="000D0C3A">
        <w:t xml:space="preserve">case referred to above. </w:t>
      </w:r>
      <w:r w:rsidRPr="000D0C3A">
        <w:t>The SRSG further notes</w:t>
      </w:r>
      <w:r w:rsidR="00477745" w:rsidRPr="000D0C3A">
        <w:t xml:space="preserve"> that this process was “reliant on a number of actors rather than just UNMIK, for example the International Commission on Missing Persons, the International Committee of the Red </w:t>
      </w:r>
      <w:r w:rsidR="009E7C94" w:rsidRPr="000D0C3A">
        <w:t xml:space="preserve">Cross and local missing </w:t>
      </w:r>
      <w:proofErr w:type="gramStart"/>
      <w:r w:rsidR="009E7C94" w:rsidRPr="000D0C3A">
        <w:t>persons</w:t>
      </w:r>
      <w:proofErr w:type="gramEnd"/>
      <w:r w:rsidR="00477745" w:rsidRPr="000D0C3A">
        <w:t xml:space="preserve"> </w:t>
      </w:r>
      <w:proofErr w:type="spellStart"/>
      <w:r w:rsidR="00477745" w:rsidRPr="000D0C3A">
        <w:t>organisations</w:t>
      </w:r>
      <w:proofErr w:type="spellEnd"/>
      <w:r w:rsidR="009D747B" w:rsidRPr="000D0C3A">
        <w:t>.”</w:t>
      </w:r>
      <w:r w:rsidR="00477745" w:rsidRPr="000D0C3A">
        <w:t xml:space="preserve"> </w:t>
      </w:r>
    </w:p>
    <w:p w:rsidR="00BF3FB5" w:rsidRPr="000D0C3A" w:rsidRDefault="00BF3FB5" w:rsidP="00BE6362">
      <w:pPr>
        <w:pStyle w:val="ColorfulList-Accent11"/>
        <w:tabs>
          <w:tab w:val="num" w:pos="450"/>
        </w:tabs>
        <w:ind w:left="450" w:hanging="450"/>
        <w:jc w:val="both"/>
      </w:pPr>
    </w:p>
    <w:p w:rsidR="00CF7B9A" w:rsidRPr="000D0C3A" w:rsidRDefault="00BF3FB5" w:rsidP="003D4233">
      <w:pPr>
        <w:numPr>
          <w:ilvl w:val="0"/>
          <w:numId w:val="2"/>
        </w:numPr>
        <w:tabs>
          <w:tab w:val="num" w:pos="450"/>
        </w:tabs>
        <w:ind w:left="450" w:hanging="450"/>
        <w:jc w:val="both"/>
      </w:pPr>
      <w:bookmarkStart w:id="67" w:name="_Ref404707793"/>
      <w:r w:rsidRPr="000D0C3A">
        <w:t>The SRSG further argues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w:t>
      </w:r>
      <w:r w:rsidR="00E446C4" w:rsidRPr="000D0C3A">
        <w:t>,</w:t>
      </w:r>
      <w:r w:rsidRPr="000D0C3A">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67"/>
      <w:r w:rsidR="00CF7B9A" w:rsidRPr="000D0C3A">
        <w:t xml:space="preserve"> </w:t>
      </w:r>
    </w:p>
    <w:p w:rsidR="00CF7B9A" w:rsidRPr="000D0C3A" w:rsidRDefault="00CF7B9A" w:rsidP="00CF7B9A">
      <w:pPr>
        <w:pStyle w:val="ColorfulList-Accent11"/>
      </w:pPr>
    </w:p>
    <w:p w:rsidR="00CF7B9A" w:rsidRPr="000D0C3A" w:rsidRDefault="00A4704B" w:rsidP="00DA035A">
      <w:pPr>
        <w:pStyle w:val="ColorfulList-Accent11"/>
        <w:tabs>
          <w:tab w:val="num" w:pos="284"/>
        </w:tabs>
        <w:autoSpaceDE w:val="0"/>
        <w:ind w:left="851" w:right="425"/>
        <w:contextualSpacing/>
        <w:jc w:val="both"/>
      </w:pPr>
      <w:r w:rsidRPr="000D0C3A">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CF7B9A" w:rsidRPr="000D0C3A" w:rsidRDefault="00CF7B9A" w:rsidP="00CF7B9A">
      <w:pPr>
        <w:pStyle w:val="Default"/>
        <w:tabs>
          <w:tab w:val="num" w:pos="450"/>
          <w:tab w:val="left" w:pos="720"/>
        </w:tabs>
        <w:ind w:left="720"/>
        <w:jc w:val="both"/>
        <w:rPr>
          <w:color w:val="auto"/>
        </w:rPr>
      </w:pPr>
    </w:p>
    <w:p w:rsidR="00A4704B" w:rsidRPr="000D0C3A" w:rsidRDefault="00CF7B9A" w:rsidP="00DA035A">
      <w:pPr>
        <w:pStyle w:val="ColorfulList-Accent11"/>
        <w:tabs>
          <w:tab w:val="num" w:pos="284"/>
        </w:tabs>
        <w:autoSpaceDE w:val="0"/>
        <w:ind w:left="851" w:right="425"/>
        <w:contextualSpacing/>
        <w:jc w:val="both"/>
      </w:pPr>
      <w:r w:rsidRPr="000D0C3A">
        <w:t xml:space="preserve">All </w:t>
      </w:r>
      <w:r w:rsidR="00A4704B" w:rsidRPr="000D0C3A">
        <w:t>of this had to be done with limited physical and human resources. Being the first executive mission in the history of the UN, the concept, planning and implementation was being developed on the ground. With 20 different contributory nationalities at the beginning, it was a very challenging task for police managers to establish common practices for optimum results in a high-risk environment.”</w:t>
      </w:r>
    </w:p>
    <w:p w:rsidR="00A4704B" w:rsidRPr="000D0C3A" w:rsidRDefault="00A4704B" w:rsidP="00BE6362">
      <w:pPr>
        <w:tabs>
          <w:tab w:val="num" w:pos="450"/>
        </w:tabs>
        <w:ind w:left="450" w:hanging="450"/>
      </w:pPr>
    </w:p>
    <w:p w:rsidR="00A36B06" w:rsidRDefault="00A4704B" w:rsidP="003D4233">
      <w:pPr>
        <w:numPr>
          <w:ilvl w:val="0"/>
          <w:numId w:val="2"/>
        </w:numPr>
        <w:tabs>
          <w:tab w:val="num" w:pos="450"/>
          <w:tab w:val="left" w:pos="720"/>
        </w:tabs>
        <w:ind w:left="450" w:hanging="450"/>
        <w:jc w:val="both"/>
      </w:pPr>
      <w:r w:rsidRPr="000D0C3A">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the crime. </w:t>
      </w:r>
      <w:r w:rsidR="00BF3FB5" w:rsidRPr="000D0C3A">
        <w:t xml:space="preserve">UNMIK international police officers working on cases of missing persons had to adjust to conducting investigations in a foreign territory and </w:t>
      </w:r>
      <w:r w:rsidR="00E80DAF" w:rsidRPr="000D0C3A">
        <w:t>culture</w:t>
      </w:r>
      <w:r w:rsidR="00BF3FB5" w:rsidRPr="000D0C3A">
        <w:t xml:space="preserve">, with limited support from the still developing Kosovo Police. </w:t>
      </w:r>
      <w:r w:rsidR="00A36B06">
        <w:t xml:space="preserve">In addition, </w:t>
      </w:r>
      <w:bookmarkStart w:id="68" w:name="_Ref404705479"/>
      <w:r w:rsidRPr="000D0C3A">
        <w:t>after the conflict,</w:t>
      </w:r>
      <w:r w:rsidR="00BF3FB5" w:rsidRPr="000D0C3A">
        <w:t xml:space="preserve"> </w:t>
      </w:r>
      <w:r w:rsidRPr="000D0C3A">
        <w:t>all local institutions in Kosovo, including law-enforcement institutions and those responsible for locating the missing, were non-functional and had to be established from scratch.</w:t>
      </w:r>
    </w:p>
    <w:p w:rsidR="00A36B06" w:rsidRDefault="00A36B06" w:rsidP="00A36B06">
      <w:pPr>
        <w:tabs>
          <w:tab w:val="left" w:pos="720"/>
        </w:tabs>
        <w:ind w:left="450"/>
        <w:jc w:val="both"/>
      </w:pPr>
    </w:p>
    <w:p w:rsidR="00937BF7" w:rsidRDefault="00937BF7" w:rsidP="003D4233">
      <w:pPr>
        <w:numPr>
          <w:ilvl w:val="0"/>
          <w:numId w:val="2"/>
        </w:numPr>
        <w:tabs>
          <w:tab w:val="num" w:pos="450"/>
          <w:tab w:val="left" w:pos="720"/>
        </w:tabs>
        <w:ind w:left="450" w:hanging="450"/>
        <w:jc w:val="both"/>
      </w:pPr>
      <w:bookmarkStart w:id="69" w:name="_Ref404705540"/>
      <w:r>
        <w:t>The SRSG also stresses that “fundamental to locating missing persons and the perpetrators of disappearances and unlawful killings is information” and that in Kosovo “</w:t>
      </w:r>
      <w:r w:rsidR="00BF3FB5" w:rsidRPr="000D0C3A">
        <w:t xml:space="preserve">investigators were often faced with situations where individuals </w:t>
      </w:r>
      <w:r>
        <w:t xml:space="preserve">who may </w:t>
      </w:r>
      <w:r w:rsidR="00BF3FB5" w:rsidRPr="000D0C3A">
        <w:t xml:space="preserve">hold </w:t>
      </w:r>
      <w:r>
        <w:t>important information o</w:t>
      </w:r>
      <w:r w:rsidR="00261D7F">
        <w:t>r</w:t>
      </w:r>
      <w:r>
        <w:t xml:space="preserve"> knowledge </w:t>
      </w:r>
      <w:r w:rsidR="00BF3FB5" w:rsidRPr="000D0C3A">
        <w:t>on the whereab</w:t>
      </w:r>
      <w:r>
        <w:t>outs and fate of missing</w:t>
      </w:r>
      <w:r w:rsidR="00BF3FB5" w:rsidRPr="000D0C3A">
        <w:t xml:space="preserve"> </w:t>
      </w:r>
      <w:r>
        <w:t xml:space="preserve">often </w:t>
      </w:r>
      <w:r w:rsidR="00BF3FB5" w:rsidRPr="000D0C3A">
        <w:t xml:space="preserve">did not want to disclose </w:t>
      </w:r>
      <w:r>
        <w:t>such information either through interviews with UNMIK Police or by coming forward voluntarily.”</w:t>
      </w:r>
      <w:bookmarkEnd w:id="68"/>
      <w:bookmarkEnd w:id="69"/>
    </w:p>
    <w:p w:rsidR="00937BF7" w:rsidRDefault="00937BF7" w:rsidP="00937BF7">
      <w:pPr>
        <w:pStyle w:val="ColorfulList-Accent11"/>
      </w:pPr>
    </w:p>
    <w:p w:rsidR="00BF3FB5" w:rsidRPr="000D0C3A" w:rsidRDefault="00BF3FB5" w:rsidP="003D4233">
      <w:pPr>
        <w:numPr>
          <w:ilvl w:val="0"/>
          <w:numId w:val="2"/>
        </w:numPr>
        <w:tabs>
          <w:tab w:val="num" w:pos="450"/>
        </w:tabs>
        <w:ind w:left="450" w:hanging="450"/>
        <w:jc w:val="both"/>
      </w:pPr>
      <w:r w:rsidRPr="000D0C3A">
        <w:t xml:space="preserve">According to the SRSG, all these constraints inhibited the ability of the UNMIK Police to conduct investigations according to the standards that may be expected from States with more established institutions and </w:t>
      </w:r>
      <w:r w:rsidR="000B5FA8" w:rsidRPr="000D0C3A">
        <w:t xml:space="preserve">which </w:t>
      </w:r>
      <w:r w:rsidRPr="000D0C3A">
        <w:t xml:space="preserve">are not faced with the high number of cases of this nature associated with a post-conflict situation. </w:t>
      </w:r>
    </w:p>
    <w:p w:rsidR="00BF3FB5" w:rsidRPr="000D0C3A" w:rsidRDefault="00BF3FB5" w:rsidP="00BE6362">
      <w:pPr>
        <w:pStyle w:val="Default"/>
        <w:tabs>
          <w:tab w:val="num" w:pos="450"/>
          <w:tab w:val="left" w:pos="720"/>
        </w:tabs>
        <w:ind w:left="450" w:hanging="450"/>
        <w:jc w:val="both"/>
        <w:rPr>
          <w:color w:val="auto"/>
        </w:rPr>
      </w:pPr>
    </w:p>
    <w:p w:rsidR="00B35803" w:rsidRPr="00C5394C" w:rsidRDefault="00E6650B" w:rsidP="00B35803">
      <w:pPr>
        <w:numPr>
          <w:ilvl w:val="0"/>
          <w:numId w:val="2"/>
        </w:numPr>
        <w:tabs>
          <w:tab w:val="num" w:pos="450"/>
        </w:tabs>
        <w:ind w:left="450" w:hanging="450"/>
        <w:jc w:val="both"/>
        <w:rPr>
          <w:bCs/>
        </w:rPr>
      </w:pPr>
      <w:r w:rsidRPr="003017F3">
        <w:rPr>
          <w:bCs/>
        </w:rPr>
        <w:t xml:space="preserve">Further, with regard to all cases, the </w:t>
      </w:r>
      <w:r w:rsidR="00667526" w:rsidRPr="003017F3">
        <w:rPr>
          <w:bCs/>
        </w:rPr>
        <w:t xml:space="preserve">SRSG </w:t>
      </w:r>
      <w:r w:rsidRPr="003017F3">
        <w:rPr>
          <w:bCs/>
        </w:rPr>
        <w:t xml:space="preserve">provides a </w:t>
      </w:r>
      <w:r w:rsidRPr="00C5394C">
        <w:rPr>
          <w:bCs/>
        </w:rPr>
        <w:t xml:space="preserve">brief overview of the actions undertaken by UNMIK authorities </w:t>
      </w:r>
      <w:r w:rsidR="00B35803" w:rsidRPr="00C5394C">
        <w:rPr>
          <w:bCs/>
        </w:rPr>
        <w:t xml:space="preserve">and the available investigative documents (see §§ </w:t>
      </w:r>
      <w:r w:rsidR="0037719A">
        <w:fldChar w:fldCharType="begin"/>
      </w:r>
      <w:r w:rsidR="0037719A">
        <w:instrText xml:space="preserve"> REF _Ref404607342 \r \h  \* MERGEFORMAT </w:instrText>
      </w:r>
      <w:r w:rsidR="0037719A">
        <w:fldChar w:fldCharType="separate"/>
      </w:r>
      <w:r w:rsidR="00A35759" w:rsidRPr="00A35759">
        <w:rPr>
          <w:bCs/>
        </w:rPr>
        <w:t>69</w:t>
      </w:r>
      <w:r w:rsidR="0037719A">
        <w:fldChar w:fldCharType="end"/>
      </w:r>
      <w:r w:rsidR="00B35803" w:rsidRPr="00C5394C">
        <w:rPr>
          <w:bCs/>
        </w:rPr>
        <w:t xml:space="preserve"> - </w:t>
      </w:r>
      <w:r w:rsidR="0037719A">
        <w:fldChar w:fldCharType="begin"/>
      </w:r>
      <w:r w:rsidR="0037719A">
        <w:instrText xml:space="preserve"> REF _Ref404607390 \r \h  \* MERGEFORMAT </w:instrText>
      </w:r>
      <w:r w:rsidR="0037719A">
        <w:fldChar w:fldCharType="separate"/>
      </w:r>
      <w:r w:rsidR="00A35759" w:rsidRPr="00A35759">
        <w:rPr>
          <w:bCs/>
        </w:rPr>
        <w:t>108</w:t>
      </w:r>
      <w:r w:rsidR="0037719A">
        <w:fldChar w:fldCharType="end"/>
      </w:r>
      <w:r w:rsidR="003017F3" w:rsidRPr="00C5394C">
        <w:rPr>
          <w:bCs/>
        </w:rPr>
        <w:t xml:space="preserve"> </w:t>
      </w:r>
      <w:r w:rsidR="00B35803" w:rsidRPr="00C5394C">
        <w:rPr>
          <w:bCs/>
        </w:rPr>
        <w:t>abov</w:t>
      </w:r>
      <w:r w:rsidR="003017F3" w:rsidRPr="00C5394C">
        <w:rPr>
          <w:bCs/>
        </w:rPr>
        <w:t>e).</w:t>
      </w:r>
    </w:p>
    <w:p w:rsidR="003017F3" w:rsidRPr="00C5394C" w:rsidRDefault="003017F3" w:rsidP="003017F3">
      <w:pPr>
        <w:pStyle w:val="ColorfulList-Accent11"/>
        <w:rPr>
          <w:bCs/>
        </w:rPr>
      </w:pPr>
    </w:p>
    <w:p w:rsidR="003017F3" w:rsidRPr="003017F3" w:rsidRDefault="003017F3" w:rsidP="003017F3">
      <w:pPr>
        <w:numPr>
          <w:ilvl w:val="0"/>
          <w:numId w:val="2"/>
        </w:numPr>
        <w:tabs>
          <w:tab w:val="num" w:pos="450"/>
        </w:tabs>
        <w:ind w:left="450" w:hanging="450"/>
        <w:jc w:val="both"/>
        <w:rPr>
          <w:bCs/>
        </w:rPr>
      </w:pPr>
      <w:bookmarkStart w:id="70" w:name="_Ref404768293"/>
      <w:r w:rsidRPr="00C5394C">
        <w:rPr>
          <w:bCs/>
        </w:rPr>
        <w:t xml:space="preserve">In relation to the investigation into the abduction and disappearance of the </w:t>
      </w:r>
      <w:proofErr w:type="spellStart"/>
      <w:r w:rsidRPr="00C5394C">
        <w:t>Šutaković</w:t>
      </w:r>
      <w:proofErr w:type="spellEnd"/>
      <w:r w:rsidRPr="00C5394C">
        <w:t xml:space="preserve"> family, the SRSG notes the MPU files for all of them were opened on 1 April 2003 and that “On the basis of the MPU file, UNMIK police continued to pursue an investigation</w:t>
      </w:r>
      <w:r>
        <w:t xml:space="preserve"> into the whereabouts of the victims and unfortunately however, these investigation</w:t>
      </w:r>
      <w:r w:rsidR="00DF22D2">
        <w:t>s</w:t>
      </w:r>
      <w:r>
        <w:t xml:space="preserve"> did not result in locating any of them or in determining their fate.”  The SRSG further accepts that the WCIU </w:t>
      </w:r>
      <w:r>
        <w:lastRenderedPageBreak/>
        <w:t xml:space="preserve">had identified three suspects, but does not comment on the lack of further police action in that regard, </w:t>
      </w:r>
      <w:r w:rsidR="00DF22D2">
        <w:t>other than</w:t>
      </w:r>
      <w:r>
        <w:t xml:space="preserve"> attempts to clarify their identities. The SRSG also accepts that, although “there were ten (10) witnesses that could possibly give evidence in connection with the abductions, […] no witness statements were available </w:t>
      </w:r>
      <w:r w:rsidR="00DF22D2">
        <w:t>on</w:t>
      </w:r>
      <w:r>
        <w:t xml:space="preserve"> file.”</w:t>
      </w:r>
      <w:bookmarkEnd w:id="70"/>
    </w:p>
    <w:p w:rsidR="003017F3" w:rsidRPr="003017F3" w:rsidRDefault="003017F3" w:rsidP="003017F3">
      <w:pPr>
        <w:ind w:left="450"/>
        <w:jc w:val="both"/>
        <w:rPr>
          <w:bCs/>
        </w:rPr>
      </w:pPr>
    </w:p>
    <w:p w:rsidR="003017F3" w:rsidRPr="003017F3" w:rsidRDefault="003017F3" w:rsidP="003017F3">
      <w:pPr>
        <w:numPr>
          <w:ilvl w:val="0"/>
          <w:numId w:val="2"/>
        </w:numPr>
        <w:tabs>
          <w:tab w:val="num" w:pos="450"/>
        </w:tabs>
        <w:ind w:left="450" w:hanging="450"/>
        <w:jc w:val="both"/>
        <w:rPr>
          <w:bCs/>
        </w:rPr>
      </w:pPr>
      <w:bookmarkStart w:id="71" w:name="_Ref404768295"/>
      <w:r>
        <w:t xml:space="preserve">With regard to the </w:t>
      </w:r>
      <w:proofErr w:type="spellStart"/>
      <w:r w:rsidRPr="00962637">
        <w:t>Šutaković</w:t>
      </w:r>
      <w:proofErr w:type="spellEnd"/>
      <w:r>
        <w:t xml:space="preserve"> family’s disappearance, the SRSG concludes that “the lack of any leads regarding the possible perpetrators and the unwillingness of potential witnesses to talk to the Police made the task of identifying the perpetrators and arresting them an impossible one.”</w:t>
      </w:r>
      <w:bookmarkEnd w:id="71"/>
    </w:p>
    <w:p w:rsidR="003017F3" w:rsidRPr="0065225E" w:rsidRDefault="003017F3" w:rsidP="003017F3">
      <w:pPr>
        <w:pStyle w:val="ColorfulList-Accent11"/>
        <w:rPr>
          <w:bCs/>
        </w:rPr>
      </w:pPr>
    </w:p>
    <w:p w:rsidR="00F62257" w:rsidRDefault="003017F3" w:rsidP="003017F3">
      <w:pPr>
        <w:numPr>
          <w:ilvl w:val="0"/>
          <w:numId w:val="2"/>
        </w:numPr>
        <w:tabs>
          <w:tab w:val="num" w:pos="450"/>
        </w:tabs>
        <w:ind w:left="450" w:hanging="450"/>
        <w:jc w:val="both"/>
        <w:rPr>
          <w:bCs/>
        </w:rPr>
      </w:pPr>
      <w:bookmarkStart w:id="72" w:name="_Ref404768304"/>
      <w:r w:rsidRPr="0065225E">
        <w:rPr>
          <w:bCs/>
        </w:rPr>
        <w:t xml:space="preserve">In relation to the investigation into the abduction and disappearance of Mr </w:t>
      </w:r>
      <w:proofErr w:type="spellStart"/>
      <w:r w:rsidRPr="0065225E">
        <w:rPr>
          <w:bCs/>
        </w:rPr>
        <w:t>Milenko</w:t>
      </w:r>
      <w:proofErr w:type="spellEnd"/>
      <w:r w:rsidRPr="0065225E">
        <w:rPr>
          <w:bCs/>
        </w:rPr>
        <w:t xml:space="preserve"> </w:t>
      </w:r>
      <w:proofErr w:type="spellStart"/>
      <w:r w:rsidRPr="0065225E">
        <w:rPr>
          <w:bCs/>
        </w:rPr>
        <w:t>Kabaš</w:t>
      </w:r>
      <w:proofErr w:type="spellEnd"/>
      <w:r w:rsidRPr="0065225E">
        <w:rPr>
          <w:bCs/>
        </w:rPr>
        <w:t xml:space="preserve">, the SRSG </w:t>
      </w:r>
      <w:r w:rsidR="001D7B73" w:rsidRPr="0065225E">
        <w:rPr>
          <w:bCs/>
        </w:rPr>
        <w:t>only states that</w:t>
      </w:r>
      <w:r w:rsidR="00DD3BB5" w:rsidRPr="0065225E">
        <w:rPr>
          <w:bCs/>
        </w:rPr>
        <w:t>,</w:t>
      </w:r>
      <w:r w:rsidR="001D7B73" w:rsidRPr="0065225E">
        <w:rPr>
          <w:bCs/>
        </w:rPr>
        <w:t xml:space="preserve"> </w:t>
      </w:r>
      <w:r w:rsidR="00DD3BB5" w:rsidRPr="0065225E">
        <w:rPr>
          <w:bCs/>
        </w:rPr>
        <w:t xml:space="preserve">from </w:t>
      </w:r>
      <w:r w:rsidR="001D7B73" w:rsidRPr="0065225E">
        <w:rPr>
          <w:bCs/>
        </w:rPr>
        <w:t>the investigative file</w:t>
      </w:r>
      <w:r w:rsidR="00DD3BB5" w:rsidRPr="0065225E">
        <w:rPr>
          <w:bCs/>
        </w:rPr>
        <w:t>,</w:t>
      </w:r>
      <w:r w:rsidR="001D7B73" w:rsidRPr="0065225E">
        <w:rPr>
          <w:bCs/>
        </w:rPr>
        <w:t xml:space="preserve"> it is evident</w:t>
      </w:r>
      <w:r w:rsidRPr="0065225E">
        <w:rPr>
          <w:bCs/>
        </w:rPr>
        <w:t xml:space="preserve"> that</w:t>
      </w:r>
      <w:r w:rsidR="001D7B73">
        <w:rPr>
          <w:bCs/>
        </w:rPr>
        <w:t xml:space="preserve"> “all necessary activities were carried out by UNMIK Police with regard to the possible location of the mortal</w:t>
      </w:r>
      <w:r w:rsidR="00215AAA">
        <w:rPr>
          <w:bCs/>
        </w:rPr>
        <w:t xml:space="preserve"> remains of the missing person”. </w:t>
      </w:r>
      <w:r w:rsidR="00DF22D2">
        <w:rPr>
          <w:bCs/>
        </w:rPr>
        <w:t>Those</w:t>
      </w:r>
      <w:r w:rsidR="001D7B73">
        <w:rPr>
          <w:bCs/>
        </w:rPr>
        <w:t xml:space="preserve"> actions </w:t>
      </w:r>
      <w:r w:rsidR="00DF22D2">
        <w:rPr>
          <w:bCs/>
        </w:rPr>
        <w:t xml:space="preserve">include </w:t>
      </w:r>
      <w:r w:rsidR="001D7B73">
        <w:rPr>
          <w:bCs/>
        </w:rPr>
        <w:t>the collection of DNA samples and submitting that information to the ICMP</w:t>
      </w:r>
      <w:r w:rsidR="00215AAA">
        <w:rPr>
          <w:bCs/>
        </w:rPr>
        <w:t>.</w:t>
      </w:r>
      <w:r w:rsidR="00F62257">
        <w:rPr>
          <w:bCs/>
        </w:rPr>
        <w:t xml:space="preserve"> UNMIK Police also initiated the investigation into his disappearance and registered it under no. 2003-00005.</w:t>
      </w:r>
      <w:bookmarkEnd w:id="72"/>
    </w:p>
    <w:p w:rsidR="00F62257" w:rsidRDefault="00F62257" w:rsidP="00F62257">
      <w:pPr>
        <w:pStyle w:val="ColorfulList-Accent11"/>
        <w:rPr>
          <w:bCs/>
        </w:rPr>
      </w:pPr>
    </w:p>
    <w:p w:rsidR="00F62257" w:rsidRDefault="00F62257" w:rsidP="003017F3">
      <w:pPr>
        <w:numPr>
          <w:ilvl w:val="0"/>
          <w:numId w:val="2"/>
        </w:numPr>
        <w:tabs>
          <w:tab w:val="num" w:pos="450"/>
        </w:tabs>
        <w:ind w:left="450" w:hanging="450"/>
        <w:jc w:val="both"/>
        <w:rPr>
          <w:bCs/>
        </w:rPr>
      </w:pPr>
      <w:r>
        <w:rPr>
          <w:bCs/>
        </w:rPr>
        <w:t xml:space="preserve">The SRSG accepts that the investigative files in relation to Mr </w:t>
      </w:r>
      <w:proofErr w:type="spellStart"/>
      <w:proofErr w:type="gramStart"/>
      <w:r>
        <w:rPr>
          <w:bCs/>
        </w:rPr>
        <w:t>Kabaš</w:t>
      </w:r>
      <w:proofErr w:type="spellEnd"/>
      <w:r>
        <w:rPr>
          <w:bCs/>
        </w:rPr>
        <w:t xml:space="preserve"> </w:t>
      </w:r>
      <w:r w:rsidR="00496F5D">
        <w:rPr>
          <w:bCs/>
        </w:rPr>
        <w:t xml:space="preserve"> </w:t>
      </w:r>
      <w:r>
        <w:rPr>
          <w:bCs/>
        </w:rPr>
        <w:t>“</w:t>
      </w:r>
      <w:proofErr w:type="gramEnd"/>
      <w:r>
        <w:rPr>
          <w:bCs/>
        </w:rPr>
        <w:t>disclose information fr</w:t>
      </w:r>
      <w:r w:rsidR="00496F5D">
        <w:rPr>
          <w:bCs/>
        </w:rPr>
        <w:t>o</w:t>
      </w:r>
      <w:r>
        <w:rPr>
          <w:bCs/>
        </w:rPr>
        <w:t>m the complainant indicating the name and possible perpetrator and others who may have witnesses the disappearance. The files then do not provide any information whether UNMIK Police had followed up on certain leads or whether any action was taken. There is also no information why in 2007 the status of the case was indicated as “low priority”. However, according to the SRSG, this might be a result of incomplete investigative files being in UNMIK’s possession.</w:t>
      </w:r>
    </w:p>
    <w:p w:rsidR="00F62257" w:rsidRDefault="00F62257" w:rsidP="00F62257">
      <w:pPr>
        <w:pStyle w:val="ColorfulList-Accent11"/>
        <w:rPr>
          <w:bCs/>
        </w:rPr>
      </w:pPr>
    </w:p>
    <w:p w:rsidR="003017F3" w:rsidRPr="009B57F6" w:rsidRDefault="001D7B73" w:rsidP="003017F3">
      <w:pPr>
        <w:numPr>
          <w:ilvl w:val="0"/>
          <w:numId w:val="2"/>
        </w:numPr>
        <w:tabs>
          <w:tab w:val="num" w:pos="450"/>
        </w:tabs>
        <w:ind w:left="450" w:hanging="450"/>
        <w:jc w:val="both"/>
        <w:rPr>
          <w:bCs/>
        </w:rPr>
      </w:pPr>
      <w:r>
        <w:rPr>
          <w:bCs/>
        </w:rPr>
        <w:t xml:space="preserve">The SRSG assumes that “there was no available information available for UNMIK Police/OMPF, which could have </w:t>
      </w:r>
      <w:proofErr w:type="spellStart"/>
      <w:r>
        <w:rPr>
          <w:bCs/>
        </w:rPr>
        <w:t>lead</w:t>
      </w:r>
      <w:proofErr w:type="spellEnd"/>
      <w:r>
        <w:rPr>
          <w:bCs/>
        </w:rPr>
        <w:t xml:space="preserve"> to a specific location, and there was no matching information in the ICMP </w:t>
      </w:r>
      <w:r w:rsidR="00F62257">
        <w:rPr>
          <w:bCs/>
        </w:rPr>
        <w:t xml:space="preserve">database, on the basis of which Mr. </w:t>
      </w:r>
      <w:proofErr w:type="spellStart"/>
      <w:r w:rsidR="00F62257">
        <w:rPr>
          <w:bCs/>
        </w:rPr>
        <w:t>Kabaš</w:t>
      </w:r>
      <w:proofErr w:type="spellEnd"/>
      <w:r w:rsidR="00F62257">
        <w:rPr>
          <w:bCs/>
        </w:rPr>
        <w:t xml:space="preserve"> could have been identified. </w:t>
      </w:r>
      <w:r w:rsidR="00F62257" w:rsidRPr="009B57F6">
        <w:rPr>
          <w:bCs/>
        </w:rPr>
        <w:t xml:space="preserve">For these reasons, no failure with regard to the investigation into the possible location of Mr. </w:t>
      </w:r>
      <w:proofErr w:type="spellStart"/>
      <w:r w:rsidR="00F62257" w:rsidRPr="009B57F6">
        <w:rPr>
          <w:bCs/>
        </w:rPr>
        <w:t>Milenko</w:t>
      </w:r>
      <w:proofErr w:type="spellEnd"/>
      <w:r w:rsidR="00F62257" w:rsidRPr="009B57F6">
        <w:rPr>
          <w:bCs/>
        </w:rPr>
        <w:t xml:space="preserve"> </w:t>
      </w:r>
      <w:proofErr w:type="spellStart"/>
      <w:r w:rsidR="00F62257" w:rsidRPr="009B57F6">
        <w:rPr>
          <w:bCs/>
        </w:rPr>
        <w:t>Kabaš</w:t>
      </w:r>
      <w:proofErr w:type="spellEnd"/>
      <w:r w:rsidR="00F62257" w:rsidRPr="009B57F6">
        <w:rPr>
          <w:bCs/>
        </w:rPr>
        <w:t xml:space="preserve"> can be attributed to UNMIK.”</w:t>
      </w:r>
    </w:p>
    <w:p w:rsidR="00B22FF2" w:rsidRPr="009B57F6" w:rsidRDefault="00B22FF2" w:rsidP="00B22FF2">
      <w:pPr>
        <w:ind w:left="450"/>
        <w:jc w:val="both"/>
        <w:rPr>
          <w:bCs/>
        </w:rPr>
      </w:pPr>
    </w:p>
    <w:p w:rsidR="00CA5624" w:rsidRPr="009B57F6" w:rsidRDefault="00CA5624" w:rsidP="003017F3">
      <w:pPr>
        <w:numPr>
          <w:ilvl w:val="0"/>
          <w:numId w:val="2"/>
        </w:numPr>
        <w:tabs>
          <w:tab w:val="num" w:pos="450"/>
        </w:tabs>
        <w:ind w:left="450" w:hanging="450"/>
        <w:jc w:val="both"/>
        <w:rPr>
          <w:lang w:val="en-GB"/>
        </w:rPr>
      </w:pPr>
      <w:r w:rsidRPr="009B57F6">
        <w:rPr>
          <w:bCs/>
        </w:rPr>
        <w:t xml:space="preserve">The SRSG provided no specific comments in relation to the investigation into the abduction and disappearance of Mr and Mrs </w:t>
      </w:r>
      <w:proofErr w:type="spellStart"/>
      <w:r w:rsidRPr="009B57F6">
        <w:rPr>
          <w:bCs/>
        </w:rPr>
        <w:t>Petrović</w:t>
      </w:r>
      <w:proofErr w:type="spellEnd"/>
      <w:r w:rsidRPr="009B57F6">
        <w:rPr>
          <w:bCs/>
        </w:rPr>
        <w:t>.</w:t>
      </w:r>
    </w:p>
    <w:p w:rsidR="00CA5624" w:rsidRPr="009B57F6" w:rsidRDefault="00CA5624" w:rsidP="00CA5624">
      <w:pPr>
        <w:pStyle w:val="ColorfulList-Accent11"/>
        <w:rPr>
          <w:bCs/>
        </w:rPr>
      </w:pPr>
    </w:p>
    <w:p w:rsidR="003017F3" w:rsidRPr="003017F3" w:rsidRDefault="003017F3" w:rsidP="003017F3">
      <w:pPr>
        <w:numPr>
          <w:ilvl w:val="0"/>
          <w:numId w:val="2"/>
        </w:numPr>
        <w:tabs>
          <w:tab w:val="num" w:pos="450"/>
        </w:tabs>
        <w:ind w:left="450" w:hanging="450"/>
        <w:jc w:val="both"/>
        <w:rPr>
          <w:lang w:val="en-GB"/>
        </w:rPr>
      </w:pPr>
      <w:bookmarkStart w:id="73" w:name="_Ref404768334"/>
      <w:r w:rsidRPr="009B57F6">
        <w:rPr>
          <w:bCs/>
        </w:rPr>
        <w:t>Finally, with regard to all complaints</w:t>
      </w:r>
      <w:r>
        <w:rPr>
          <w:bCs/>
        </w:rPr>
        <w:t>, t</w:t>
      </w:r>
      <w:r w:rsidR="002E5F93" w:rsidRPr="000D0C3A">
        <w:rPr>
          <w:bCs/>
        </w:rPr>
        <w:t xml:space="preserve">he SRSG </w:t>
      </w:r>
      <w:r w:rsidR="00FE66F8" w:rsidRPr="000D0C3A">
        <w:rPr>
          <w:bCs/>
        </w:rPr>
        <w:t>concludes that</w:t>
      </w:r>
      <w:r w:rsidR="002E5F93" w:rsidRPr="000D0C3A">
        <w:rPr>
          <w:bCs/>
        </w:rPr>
        <w:t xml:space="preserve"> UNMIK </w:t>
      </w:r>
      <w:r w:rsidR="00FE66F8" w:rsidRPr="000D0C3A">
        <w:rPr>
          <w:bCs/>
        </w:rPr>
        <w:t xml:space="preserve">authorities </w:t>
      </w:r>
      <w:r w:rsidR="000A3A7D" w:rsidRPr="000D0C3A">
        <w:rPr>
          <w:bCs/>
        </w:rPr>
        <w:t xml:space="preserve">acted </w:t>
      </w:r>
      <w:r w:rsidR="00FE66F8" w:rsidRPr="000D0C3A">
        <w:rPr>
          <w:bCs/>
        </w:rPr>
        <w:t xml:space="preserve">fully </w:t>
      </w:r>
      <w:r w:rsidR="000A3A7D" w:rsidRPr="000D0C3A">
        <w:rPr>
          <w:bCs/>
        </w:rPr>
        <w:t>in accordance with the procedural requirements of Article 2 of t</w:t>
      </w:r>
      <w:r w:rsidR="00FE66F8" w:rsidRPr="000D0C3A">
        <w:rPr>
          <w:bCs/>
        </w:rPr>
        <w:t>he ECHR, in relation to all victims in this case.</w:t>
      </w:r>
      <w:bookmarkEnd w:id="73"/>
    </w:p>
    <w:p w:rsidR="003017F3" w:rsidRDefault="003017F3" w:rsidP="003017F3">
      <w:pPr>
        <w:pStyle w:val="ColorfulList-Accent11"/>
        <w:rPr>
          <w:lang w:val="en-GB"/>
        </w:rPr>
      </w:pPr>
    </w:p>
    <w:p w:rsidR="003017F3" w:rsidRPr="003017F3" w:rsidRDefault="003017F3" w:rsidP="003017F3">
      <w:pPr>
        <w:numPr>
          <w:ilvl w:val="0"/>
          <w:numId w:val="2"/>
        </w:numPr>
        <w:tabs>
          <w:tab w:val="num" w:pos="450"/>
        </w:tabs>
        <w:ind w:left="450" w:hanging="450"/>
        <w:jc w:val="both"/>
        <w:rPr>
          <w:bCs/>
        </w:rPr>
      </w:pPr>
      <w:bookmarkStart w:id="74" w:name="_Ref367285538"/>
      <w:r w:rsidRPr="003017F3">
        <w:rPr>
          <w:bCs/>
        </w:rPr>
        <w:t>The SRSG also informed the Panel that he might make further comments on this matter, “[a]s there is the possibility that additional and conclusive information exists”, beyond the documents presented to the Panel. However, no further communication in this regard, other than the confirmation of the full disclosure of the investigative files, has been received to date.</w:t>
      </w:r>
      <w:bookmarkEnd w:id="74"/>
    </w:p>
    <w:p w:rsidR="003017F3" w:rsidRDefault="003017F3" w:rsidP="003017F3">
      <w:pPr>
        <w:jc w:val="both"/>
        <w:rPr>
          <w:lang w:val="en-GB"/>
        </w:rPr>
      </w:pPr>
    </w:p>
    <w:p w:rsidR="00E025EE" w:rsidRDefault="00E025EE" w:rsidP="003017F3">
      <w:pPr>
        <w:jc w:val="both"/>
        <w:rPr>
          <w:lang w:val="en-GB"/>
        </w:rPr>
      </w:pPr>
    </w:p>
    <w:p w:rsidR="00E025EE" w:rsidRPr="00E203D1" w:rsidRDefault="00E025EE" w:rsidP="003017F3">
      <w:pPr>
        <w:jc w:val="both"/>
        <w:rPr>
          <w:lang w:val="en-GB"/>
        </w:rPr>
      </w:pPr>
    </w:p>
    <w:p w:rsidR="00060C31" w:rsidRPr="000D0C3A" w:rsidRDefault="00D939AE" w:rsidP="003D4233">
      <w:pPr>
        <w:pStyle w:val="ColorfulList-Accent11"/>
        <w:numPr>
          <w:ilvl w:val="1"/>
          <w:numId w:val="1"/>
        </w:numPr>
        <w:autoSpaceDE w:val="0"/>
        <w:contextualSpacing/>
        <w:jc w:val="both"/>
        <w:rPr>
          <w:b/>
          <w:lang w:val="en-GB"/>
        </w:rPr>
      </w:pPr>
      <w:r w:rsidRPr="000D0C3A">
        <w:rPr>
          <w:b/>
          <w:lang w:val="en-GB"/>
        </w:rPr>
        <w:lastRenderedPageBreak/>
        <w:t>The Panel’s a</w:t>
      </w:r>
      <w:r w:rsidR="00060C31" w:rsidRPr="000D0C3A">
        <w:rPr>
          <w:b/>
          <w:lang w:val="en-GB"/>
        </w:rPr>
        <w:t>ssessment</w:t>
      </w:r>
    </w:p>
    <w:p w:rsidR="00104F6F" w:rsidRPr="000D0C3A" w:rsidRDefault="00104F6F" w:rsidP="00BE6362">
      <w:pPr>
        <w:tabs>
          <w:tab w:val="num" w:pos="450"/>
          <w:tab w:val="left" w:pos="630"/>
          <w:tab w:val="left" w:pos="2790"/>
        </w:tabs>
        <w:autoSpaceDE w:val="0"/>
        <w:ind w:left="450" w:hanging="450"/>
        <w:jc w:val="both"/>
        <w:rPr>
          <w:bCs/>
          <w:lang w:val="en-GB"/>
        </w:rPr>
      </w:pPr>
    </w:p>
    <w:p w:rsidR="002E1F12" w:rsidRPr="00EE6125" w:rsidRDefault="009813B4" w:rsidP="003D4233">
      <w:pPr>
        <w:numPr>
          <w:ilvl w:val="0"/>
          <w:numId w:val="2"/>
        </w:numPr>
        <w:tabs>
          <w:tab w:val="num" w:pos="450"/>
        </w:tabs>
        <w:ind w:left="450" w:hanging="450"/>
        <w:jc w:val="both"/>
        <w:rPr>
          <w:color w:val="000000"/>
          <w:lang w:val="en-GB"/>
        </w:rPr>
      </w:pPr>
      <w:r w:rsidRPr="000D0C3A">
        <w:rPr>
          <w:bCs/>
          <w:lang w:val="en-GB"/>
        </w:rPr>
        <w:t>The Panel</w:t>
      </w:r>
      <w:r w:rsidR="00572BFF" w:rsidRPr="000D0C3A">
        <w:rPr>
          <w:bCs/>
          <w:lang w:val="en-GB"/>
        </w:rPr>
        <w:t xml:space="preserve"> considers that the complainant</w:t>
      </w:r>
      <w:r w:rsidR="00643F50" w:rsidRPr="000D0C3A">
        <w:rPr>
          <w:bCs/>
          <w:lang w:val="en-GB"/>
        </w:rPr>
        <w:t>s</w:t>
      </w:r>
      <w:r w:rsidRPr="000D0C3A">
        <w:rPr>
          <w:bCs/>
          <w:lang w:val="en-GB"/>
        </w:rPr>
        <w:t xml:space="preserve"> invoke a violation of the procedural </w:t>
      </w:r>
      <w:r w:rsidRPr="000D0C3A">
        <w:rPr>
          <w:rFonts w:cs="CAGLHH+TimesNewRoman"/>
          <w:color w:val="000000"/>
          <w:lang w:val="en-GB"/>
        </w:rPr>
        <w:t>obligation</w:t>
      </w:r>
      <w:r w:rsidRPr="000D0C3A">
        <w:rPr>
          <w:bCs/>
          <w:lang w:val="en-GB"/>
        </w:rPr>
        <w:t xml:space="preserve"> ste</w:t>
      </w:r>
      <w:r w:rsidRPr="00EE6125">
        <w:rPr>
          <w:bCs/>
          <w:color w:val="000000"/>
          <w:lang w:val="en-GB"/>
        </w:rPr>
        <w:t>mming from the right to life, guar</w:t>
      </w:r>
      <w:r w:rsidR="001B245B" w:rsidRPr="00EE6125">
        <w:rPr>
          <w:bCs/>
          <w:color w:val="000000"/>
          <w:lang w:val="en-GB"/>
        </w:rPr>
        <w:t>anteed by Article 2 of the ECHR</w:t>
      </w:r>
      <w:r w:rsidR="00DD3BB5">
        <w:rPr>
          <w:bCs/>
          <w:color w:val="000000"/>
          <w:lang w:val="en-GB"/>
        </w:rPr>
        <w:t>,</w:t>
      </w:r>
      <w:r w:rsidRPr="00EE6125">
        <w:rPr>
          <w:bCs/>
          <w:color w:val="000000"/>
          <w:lang w:val="en-GB"/>
        </w:rPr>
        <w:t xml:space="preserve"> in that UNMIK Police did not </w:t>
      </w:r>
      <w:r w:rsidRPr="00EE6125">
        <w:rPr>
          <w:bCs/>
          <w:color w:val="000000"/>
        </w:rPr>
        <w:t>conduct</w:t>
      </w:r>
      <w:r w:rsidRPr="00EE6125">
        <w:rPr>
          <w:bCs/>
          <w:color w:val="000000"/>
          <w:lang w:val="en-GB"/>
        </w:rPr>
        <w:t xml:space="preserve"> an effective investigation into </w:t>
      </w:r>
      <w:r w:rsidR="00A4704B" w:rsidRPr="00EE6125">
        <w:rPr>
          <w:bCs/>
          <w:color w:val="000000"/>
          <w:lang w:val="en-GB"/>
        </w:rPr>
        <w:t xml:space="preserve">the </w:t>
      </w:r>
      <w:r w:rsidR="00672E78" w:rsidRPr="00EE6125">
        <w:rPr>
          <w:color w:val="000000"/>
          <w:lang w:val="en-GB"/>
        </w:rPr>
        <w:t xml:space="preserve">abduction and </w:t>
      </w:r>
      <w:r w:rsidR="00672E78" w:rsidRPr="00EE6125">
        <w:rPr>
          <w:bCs/>
          <w:color w:val="000000"/>
          <w:lang w:val="en-GB"/>
        </w:rPr>
        <w:t xml:space="preserve">disappearance of </w:t>
      </w:r>
      <w:r w:rsidR="00DD3BB5">
        <w:rPr>
          <w:bCs/>
          <w:color w:val="000000"/>
          <w:lang w:val="en-GB"/>
        </w:rPr>
        <w:t xml:space="preserve">their relatives, </w:t>
      </w:r>
      <w:r w:rsidR="004649EE" w:rsidRPr="00962637">
        <w:t xml:space="preserve">Mrs </w:t>
      </w:r>
      <w:proofErr w:type="spellStart"/>
      <w:r w:rsidR="004649EE" w:rsidRPr="00962637">
        <w:t>Dar</w:t>
      </w:r>
      <w:r w:rsidR="004649EE">
        <w:t>inka</w:t>
      </w:r>
      <w:proofErr w:type="spellEnd"/>
      <w:r w:rsidR="004649EE" w:rsidRPr="00962637">
        <w:t xml:space="preserve"> </w:t>
      </w:r>
      <w:proofErr w:type="spellStart"/>
      <w:r w:rsidR="004649EE" w:rsidRPr="00962637">
        <w:t>Šutaković</w:t>
      </w:r>
      <w:proofErr w:type="spellEnd"/>
      <w:r w:rsidR="004649EE">
        <w:t xml:space="preserve">, </w:t>
      </w:r>
      <w:r w:rsidR="004649EE" w:rsidRPr="00962637">
        <w:t xml:space="preserve">Mr </w:t>
      </w:r>
      <w:proofErr w:type="spellStart"/>
      <w:r w:rsidR="004649EE" w:rsidRPr="00962637">
        <w:t>Nedeljko</w:t>
      </w:r>
      <w:proofErr w:type="spellEnd"/>
      <w:r w:rsidR="004649EE" w:rsidRPr="00962637">
        <w:t xml:space="preserve"> </w:t>
      </w:r>
      <w:proofErr w:type="spellStart"/>
      <w:r w:rsidR="004649EE" w:rsidRPr="00962637">
        <w:t>Šutaković</w:t>
      </w:r>
      <w:proofErr w:type="spellEnd"/>
      <w:r w:rsidR="004649EE" w:rsidRPr="00962637">
        <w:t xml:space="preserve">, </w:t>
      </w:r>
      <w:r w:rsidR="004649EE">
        <w:t xml:space="preserve">Mr </w:t>
      </w:r>
      <w:r w:rsidR="004649EE" w:rsidRPr="00962637">
        <w:t xml:space="preserve">Radovan </w:t>
      </w:r>
      <w:proofErr w:type="spellStart"/>
      <w:r w:rsidR="004649EE" w:rsidRPr="00962637">
        <w:t>Šutaković</w:t>
      </w:r>
      <w:proofErr w:type="spellEnd"/>
      <w:r w:rsidR="004649EE">
        <w:t>,</w:t>
      </w:r>
      <w:r w:rsidR="004649EE" w:rsidRPr="00A70075">
        <w:t xml:space="preserve"> </w:t>
      </w:r>
      <w:r w:rsidR="004649EE">
        <w:t xml:space="preserve">Mr </w:t>
      </w:r>
      <w:proofErr w:type="spellStart"/>
      <w:r w:rsidR="004649EE" w:rsidRPr="00962637">
        <w:t>Ðorđe</w:t>
      </w:r>
      <w:proofErr w:type="spellEnd"/>
      <w:r w:rsidR="004649EE" w:rsidRPr="00962637">
        <w:t xml:space="preserve"> </w:t>
      </w:r>
      <w:proofErr w:type="spellStart"/>
      <w:r w:rsidR="004649EE" w:rsidRPr="00962637">
        <w:t>Šutaković</w:t>
      </w:r>
      <w:proofErr w:type="spellEnd"/>
      <w:r w:rsidR="004649EE">
        <w:t xml:space="preserve">, Mr </w:t>
      </w:r>
      <w:proofErr w:type="spellStart"/>
      <w:r w:rsidR="004649EE">
        <w:t>Aleksandar</w:t>
      </w:r>
      <w:proofErr w:type="spellEnd"/>
      <w:r w:rsidR="004649EE">
        <w:t xml:space="preserve"> </w:t>
      </w:r>
      <w:proofErr w:type="spellStart"/>
      <w:r w:rsidR="004649EE" w:rsidRPr="00F35DD1">
        <w:t>Šutaković</w:t>
      </w:r>
      <w:proofErr w:type="spellEnd"/>
      <w:r w:rsidR="004649EE" w:rsidRPr="00F35DD1">
        <w:t xml:space="preserve">, </w:t>
      </w:r>
      <w:r w:rsidR="004649EE">
        <w:t xml:space="preserve">Mr </w:t>
      </w:r>
      <w:proofErr w:type="spellStart"/>
      <w:r w:rsidR="004649EE">
        <w:t>Milenko</w:t>
      </w:r>
      <w:proofErr w:type="spellEnd"/>
      <w:r w:rsidR="004649EE">
        <w:t xml:space="preserve"> </w:t>
      </w:r>
      <w:proofErr w:type="spellStart"/>
      <w:r w:rsidR="004649EE">
        <w:t>Kabaš</w:t>
      </w:r>
      <w:proofErr w:type="spellEnd"/>
      <w:r w:rsidR="004649EE">
        <w:t xml:space="preserve">, </w:t>
      </w:r>
      <w:r w:rsidR="004649EE" w:rsidRPr="00F35DD1">
        <w:rPr>
          <w:lang w:val="en-GB"/>
        </w:rPr>
        <w:t xml:space="preserve">Mr </w:t>
      </w:r>
      <w:proofErr w:type="spellStart"/>
      <w:r w:rsidR="004649EE" w:rsidRPr="00F35DD1">
        <w:rPr>
          <w:lang w:val="en-GB"/>
        </w:rPr>
        <w:t>Mića</w:t>
      </w:r>
      <w:proofErr w:type="spellEnd"/>
      <w:r w:rsidR="004649EE" w:rsidRPr="00F35DD1">
        <w:rPr>
          <w:lang w:val="en-GB"/>
        </w:rPr>
        <w:t xml:space="preserve"> </w:t>
      </w:r>
      <w:proofErr w:type="spellStart"/>
      <w:r w:rsidR="004649EE" w:rsidRPr="00F35DD1">
        <w:rPr>
          <w:lang w:val="en-GB"/>
        </w:rPr>
        <w:t>Petrović</w:t>
      </w:r>
      <w:proofErr w:type="spellEnd"/>
      <w:r w:rsidR="004649EE" w:rsidRPr="00F35DD1">
        <w:rPr>
          <w:lang w:val="en-GB"/>
        </w:rPr>
        <w:t xml:space="preserve"> and Mrs Radmila </w:t>
      </w:r>
      <w:proofErr w:type="spellStart"/>
      <w:r w:rsidR="004649EE" w:rsidRPr="00F35DD1">
        <w:rPr>
          <w:lang w:val="en-GB"/>
        </w:rPr>
        <w:t>Petrović</w:t>
      </w:r>
      <w:proofErr w:type="spellEnd"/>
      <w:r w:rsidR="00EF4A0C" w:rsidRPr="00EE6125">
        <w:rPr>
          <w:color w:val="000000"/>
          <w:lang w:val="en-GB"/>
        </w:rPr>
        <w:t>.</w:t>
      </w:r>
    </w:p>
    <w:p w:rsidR="002E1F12" w:rsidRPr="00EE6125" w:rsidRDefault="002E1F12" w:rsidP="002E1F12">
      <w:pPr>
        <w:pStyle w:val="ColorfulList-Accent11"/>
        <w:tabs>
          <w:tab w:val="num" w:pos="450"/>
          <w:tab w:val="left" w:pos="630"/>
          <w:tab w:val="left" w:pos="2790"/>
        </w:tabs>
        <w:autoSpaceDE w:val="0"/>
        <w:ind w:left="450" w:hanging="450"/>
        <w:jc w:val="both"/>
        <w:rPr>
          <w:color w:val="000000"/>
          <w:lang w:val="en-GB"/>
        </w:rPr>
      </w:pPr>
    </w:p>
    <w:p w:rsidR="002E1F12" w:rsidRPr="00EE6125" w:rsidRDefault="002E1F12" w:rsidP="00F0555D">
      <w:pPr>
        <w:pStyle w:val="ColorfulList-Accent11"/>
        <w:numPr>
          <w:ilvl w:val="0"/>
          <w:numId w:val="5"/>
        </w:numPr>
        <w:tabs>
          <w:tab w:val="num" w:pos="270"/>
        </w:tabs>
        <w:suppressAutoHyphens w:val="0"/>
        <w:ind w:left="270" w:hanging="270"/>
        <w:contextualSpacing/>
        <w:jc w:val="both"/>
        <w:rPr>
          <w:i/>
          <w:color w:val="000000"/>
          <w:lang w:val="en-GB" w:eastAsia="en-US"/>
        </w:rPr>
      </w:pPr>
      <w:r w:rsidRPr="000D0C3A">
        <w:rPr>
          <w:i/>
          <w:lang w:val="en-GB" w:eastAsia="en-US"/>
        </w:rPr>
        <w:t>Submission</w:t>
      </w:r>
      <w:r w:rsidRPr="00EE6125">
        <w:rPr>
          <w:i/>
          <w:color w:val="000000"/>
          <w:lang w:val="en-GB" w:eastAsia="en-US"/>
        </w:rPr>
        <w:t xml:space="preserve"> of relevant files</w:t>
      </w:r>
    </w:p>
    <w:p w:rsidR="002E1F12" w:rsidRPr="00EE6125" w:rsidRDefault="002E1F12" w:rsidP="002E1F12">
      <w:pPr>
        <w:pStyle w:val="ColorfulList-Accent11"/>
        <w:tabs>
          <w:tab w:val="left" w:pos="630"/>
          <w:tab w:val="left" w:pos="2790"/>
        </w:tabs>
        <w:autoSpaceDE w:val="0"/>
        <w:ind w:left="450"/>
        <w:jc w:val="both"/>
        <w:rPr>
          <w:color w:val="000000"/>
          <w:lang w:val="en-GB"/>
        </w:rPr>
      </w:pPr>
    </w:p>
    <w:p w:rsidR="00F533F0" w:rsidRPr="00DF22D2" w:rsidRDefault="00F533F0" w:rsidP="00F533F0">
      <w:pPr>
        <w:numPr>
          <w:ilvl w:val="0"/>
          <w:numId w:val="2"/>
        </w:numPr>
        <w:tabs>
          <w:tab w:val="num" w:pos="450"/>
        </w:tabs>
        <w:ind w:left="450" w:hanging="450"/>
        <w:jc w:val="both"/>
        <w:rPr>
          <w:color w:val="000000"/>
        </w:rPr>
      </w:pPr>
      <w:r w:rsidRPr="00F533F0">
        <w:rPr>
          <w:lang w:val="en-GB"/>
        </w:rPr>
        <w:t xml:space="preserve">At </w:t>
      </w:r>
      <w:r w:rsidR="00DF22D2">
        <w:rPr>
          <w:lang w:val="en-GB"/>
        </w:rPr>
        <w:t xml:space="preserve">the </w:t>
      </w:r>
      <w:r w:rsidRPr="00F533F0">
        <w:rPr>
          <w:lang w:val="en-GB"/>
        </w:rPr>
        <w:t>Panel’s re</w:t>
      </w:r>
      <w:r w:rsidR="00215AAA">
        <w:rPr>
          <w:lang w:val="en-GB"/>
        </w:rPr>
        <w:t>quests, on a number of occasions</w:t>
      </w:r>
      <w:r w:rsidRPr="00F533F0">
        <w:rPr>
          <w:lang w:val="en-GB"/>
        </w:rPr>
        <w:t xml:space="preserve"> the </w:t>
      </w:r>
      <w:r w:rsidRPr="00F533F0">
        <w:rPr>
          <w:bCs/>
          <w:lang w:val="en-GB"/>
        </w:rPr>
        <w:t>SRSG</w:t>
      </w:r>
      <w:r w:rsidRPr="00F533F0">
        <w:rPr>
          <w:lang w:val="en-GB"/>
        </w:rPr>
        <w:t xml:space="preserve"> provided copies of the documents </w:t>
      </w:r>
      <w:r w:rsidRPr="00DF22D2">
        <w:rPr>
          <w:bCs/>
          <w:color w:val="000000"/>
        </w:rPr>
        <w:t>related</w:t>
      </w:r>
      <w:r w:rsidRPr="00DF22D2">
        <w:rPr>
          <w:lang w:val="en-GB"/>
        </w:rPr>
        <w:t xml:space="preserve"> to the investigations subject of the present complaints, which UNMIK was able to recover, including some files which had been retrieved from the archives at the UN Headquarters in New York (see §§ </w:t>
      </w:r>
      <w:r w:rsidR="0037719A">
        <w:fldChar w:fldCharType="begin"/>
      </w:r>
      <w:r w:rsidR="0037719A">
        <w:instrText xml:space="preserve"> REF _Ref404178818 \r \h  \* MERGEFORMAT </w:instrText>
      </w:r>
      <w:r w:rsidR="0037719A">
        <w:fldChar w:fldCharType="separate"/>
      </w:r>
      <w:r w:rsidR="00A35759" w:rsidRPr="00A35759">
        <w:rPr>
          <w:lang w:val="en-GB"/>
        </w:rPr>
        <w:t>32</w:t>
      </w:r>
      <w:r w:rsidR="0037719A">
        <w:fldChar w:fldCharType="end"/>
      </w:r>
      <w:r w:rsidRPr="00DF22D2">
        <w:rPr>
          <w:lang w:val="en-GB"/>
        </w:rPr>
        <w:t xml:space="preserve"> - </w:t>
      </w:r>
      <w:r w:rsidR="0037719A">
        <w:fldChar w:fldCharType="begin"/>
      </w:r>
      <w:r w:rsidR="0037719A">
        <w:instrText xml:space="preserve"> REF _Ref372640476 \r \h  \* MERGEFORMAT </w:instrText>
      </w:r>
      <w:r w:rsidR="0037719A">
        <w:fldChar w:fldCharType="separate"/>
      </w:r>
      <w:r w:rsidR="00A35759" w:rsidRPr="00A35759">
        <w:rPr>
          <w:lang w:val="en-GB"/>
        </w:rPr>
        <w:t>33</w:t>
      </w:r>
      <w:r w:rsidR="0037719A">
        <w:fldChar w:fldCharType="end"/>
      </w:r>
      <w:r w:rsidRPr="00DF22D2">
        <w:rPr>
          <w:lang w:val="en-GB"/>
        </w:rPr>
        <w:t xml:space="preserve"> above). As mentioned above </w:t>
      </w:r>
      <w:r w:rsidRPr="00DF22D2">
        <w:t xml:space="preserve">(see § </w:t>
      </w:r>
      <w:r w:rsidR="0037719A">
        <w:fldChar w:fldCharType="begin"/>
      </w:r>
      <w:r w:rsidR="0037719A">
        <w:instrText xml:space="preserve"> REF _Ref367285538 \r \h  \* MERGEFORMAT </w:instrText>
      </w:r>
      <w:r w:rsidR="0037719A">
        <w:fldChar w:fldCharType="separate"/>
      </w:r>
      <w:r w:rsidR="00A35759" w:rsidRPr="00A35759">
        <w:rPr>
          <w:lang w:val="en-GB"/>
        </w:rPr>
        <w:t>147</w:t>
      </w:r>
      <w:r w:rsidR="0037719A">
        <w:fldChar w:fldCharType="end"/>
      </w:r>
      <w:r w:rsidRPr="00DF22D2">
        <w:t>)</w:t>
      </w:r>
      <w:r w:rsidRPr="00DF22D2">
        <w:rPr>
          <w:lang w:val="en-GB"/>
        </w:rPr>
        <w:t>, t</w:t>
      </w:r>
      <w:r w:rsidRPr="00DF22D2">
        <w:t xml:space="preserve">he </w:t>
      </w:r>
      <w:r w:rsidRPr="00DF22D2">
        <w:rPr>
          <w:lang w:val="en-GB"/>
        </w:rPr>
        <w:t>SRSG</w:t>
      </w:r>
      <w:r w:rsidRPr="00DF22D2">
        <w:t xml:space="preserve"> also noted that more information, not contained in the presented documents, may exist in relation to this case. However, o</w:t>
      </w:r>
      <w:r w:rsidRPr="00DF22D2">
        <w:rPr>
          <w:color w:val="000000"/>
        </w:rPr>
        <w:t xml:space="preserve">n </w:t>
      </w:r>
      <w:r w:rsidRPr="00DF22D2">
        <w:rPr>
          <w:color w:val="000000"/>
          <w:lang w:val="en-GB"/>
        </w:rPr>
        <w:t>20 November 2014</w:t>
      </w:r>
      <w:r w:rsidRPr="00DF22D2">
        <w:rPr>
          <w:color w:val="000000"/>
        </w:rPr>
        <w:t xml:space="preserve">, UNMIK confirmed to the Panel that </w:t>
      </w:r>
      <w:r w:rsidRPr="00DF22D2">
        <w:t>no more files have been located, thus the disclosure may be considered complete</w:t>
      </w:r>
      <w:r w:rsidRPr="00DF22D2">
        <w:rPr>
          <w:color w:val="000000"/>
        </w:rPr>
        <w:t xml:space="preserve"> (see § </w:t>
      </w:r>
      <w:r w:rsidR="0037719A">
        <w:fldChar w:fldCharType="begin"/>
      </w:r>
      <w:r w:rsidR="0037719A">
        <w:instrText xml:space="preserve"> REF _Ref398312355 \r \h  \* MERGEFORMAT </w:instrText>
      </w:r>
      <w:r w:rsidR="0037719A">
        <w:fldChar w:fldCharType="separate"/>
      </w:r>
      <w:r w:rsidR="00A35759" w:rsidRPr="00A35759">
        <w:rPr>
          <w:color w:val="000000"/>
        </w:rPr>
        <w:t>36</w:t>
      </w:r>
      <w:r w:rsidR="0037719A">
        <w:fldChar w:fldCharType="end"/>
      </w:r>
      <w:r w:rsidRPr="00DF22D2">
        <w:rPr>
          <w:color w:val="000000"/>
        </w:rPr>
        <w:t xml:space="preserve"> </w:t>
      </w:r>
      <w:r w:rsidRPr="00DF22D2">
        <w:rPr>
          <w:color w:val="000000"/>
          <w:lang w:val="en-GB"/>
        </w:rPr>
        <w:t>above</w:t>
      </w:r>
      <w:r w:rsidRPr="00DF22D2">
        <w:rPr>
          <w:color w:val="000000"/>
        </w:rPr>
        <w:t>).</w:t>
      </w:r>
    </w:p>
    <w:p w:rsidR="00B921A4" w:rsidRPr="00EE6125" w:rsidRDefault="00F533F0" w:rsidP="00F533F0">
      <w:pPr>
        <w:ind w:left="450"/>
        <w:jc w:val="both"/>
        <w:rPr>
          <w:color w:val="000000"/>
        </w:rPr>
      </w:pPr>
      <w:r w:rsidRPr="00EE6125">
        <w:rPr>
          <w:color w:val="000000"/>
        </w:rPr>
        <w:t xml:space="preserve"> </w:t>
      </w:r>
    </w:p>
    <w:p w:rsidR="009F0D67" w:rsidRPr="00EE6125" w:rsidRDefault="00F533F0" w:rsidP="009F0D67">
      <w:pPr>
        <w:numPr>
          <w:ilvl w:val="0"/>
          <w:numId w:val="2"/>
        </w:numPr>
        <w:tabs>
          <w:tab w:val="num" w:pos="450"/>
        </w:tabs>
        <w:ind w:left="450" w:hanging="450"/>
        <w:jc w:val="both"/>
        <w:rPr>
          <w:color w:val="000000"/>
        </w:rPr>
      </w:pPr>
      <w:r w:rsidRPr="00EE6125">
        <w:rPr>
          <w:color w:val="000000"/>
          <w:lang w:val="en-GB" w:eastAsia="en-GB"/>
        </w:rPr>
        <w:t xml:space="preserve">Furthermore, as </w:t>
      </w:r>
      <w:r w:rsidR="009F0D67" w:rsidRPr="00EE6125">
        <w:rPr>
          <w:color w:val="000000"/>
          <w:lang w:val="en-GB" w:eastAsia="en-GB"/>
        </w:rPr>
        <w:t xml:space="preserve">mentioned above (§§ </w:t>
      </w:r>
      <w:r w:rsidR="002B1686" w:rsidRPr="00EE6125">
        <w:rPr>
          <w:color w:val="000000"/>
          <w:lang w:val="en-GB" w:eastAsia="en-GB"/>
        </w:rPr>
        <w:fldChar w:fldCharType="begin"/>
      </w:r>
      <w:r w:rsidR="009F0D67" w:rsidRPr="00EE6125">
        <w:rPr>
          <w:color w:val="000000"/>
          <w:lang w:val="en-GB" w:eastAsia="en-GB"/>
        </w:rPr>
        <w:instrText xml:space="preserve"> </w:instrText>
      </w:r>
      <w:r w:rsidR="0078377B">
        <w:rPr>
          <w:color w:val="000000"/>
          <w:lang w:val="en-GB" w:eastAsia="en-GB"/>
        </w:rPr>
        <w:instrText>REF</w:instrText>
      </w:r>
      <w:r w:rsidR="009F0D67" w:rsidRPr="00EE6125">
        <w:rPr>
          <w:color w:val="000000"/>
          <w:lang w:val="en-GB" w:eastAsia="en-GB"/>
        </w:rPr>
        <w:instrText xml:space="preserve"> _Ref373318637 \r \h </w:instrText>
      </w:r>
      <w:r w:rsidR="002B1686" w:rsidRPr="00EE6125">
        <w:rPr>
          <w:color w:val="000000"/>
          <w:lang w:val="en-GB" w:eastAsia="en-GB"/>
        </w:rPr>
      </w:r>
      <w:r w:rsidR="002B1686" w:rsidRPr="00EE6125">
        <w:rPr>
          <w:color w:val="000000"/>
          <w:lang w:val="en-GB" w:eastAsia="en-GB"/>
        </w:rPr>
        <w:fldChar w:fldCharType="separate"/>
      </w:r>
      <w:r w:rsidR="00A35759">
        <w:rPr>
          <w:color w:val="000000"/>
          <w:lang w:val="en-GB" w:eastAsia="en-GB"/>
        </w:rPr>
        <w:t>14</w:t>
      </w:r>
      <w:r w:rsidR="002B1686" w:rsidRPr="00EE6125">
        <w:rPr>
          <w:color w:val="000000"/>
          <w:lang w:val="en-GB" w:eastAsia="en-GB"/>
        </w:rPr>
        <w:fldChar w:fldCharType="end"/>
      </w:r>
      <w:r w:rsidR="009F0D67" w:rsidRPr="00EE6125">
        <w:rPr>
          <w:color w:val="000000"/>
          <w:lang w:val="en-GB" w:eastAsia="en-GB"/>
        </w:rPr>
        <w:t xml:space="preserve"> </w:t>
      </w:r>
      <w:r w:rsidR="009F0D67" w:rsidRPr="00EE6125">
        <w:rPr>
          <w:color w:val="000000"/>
        </w:rPr>
        <w:t xml:space="preserve">and </w:t>
      </w:r>
      <w:r w:rsidR="0037719A">
        <w:fldChar w:fldCharType="begin"/>
      </w:r>
      <w:r w:rsidR="0037719A">
        <w:instrText xml:space="preserve"> REF _Ref372532143 \r \h  \* MERGEFORMAT </w:instrText>
      </w:r>
      <w:r w:rsidR="0037719A">
        <w:fldChar w:fldCharType="separate"/>
      </w:r>
      <w:r w:rsidR="00A35759" w:rsidRPr="00A35759">
        <w:rPr>
          <w:color w:val="000000"/>
        </w:rPr>
        <w:t>84</w:t>
      </w:r>
      <w:r w:rsidR="0037719A">
        <w:fldChar w:fldCharType="end"/>
      </w:r>
      <w:r w:rsidR="009F0D67" w:rsidRPr="00EE6125">
        <w:rPr>
          <w:color w:val="000000"/>
          <w:lang w:val="en-GB" w:eastAsia="en-GB"/>
        </w:rPr>
        <w:t>), the Panel had</w:t>
      </w:r>
      <w:r w:rsidRPr="00EE6125">
        <w:rPr>
          <w:color w:val="000000"/>
          <w:lang w:val="en-GB" w:eastAsia="en-GB"/>
        </w:rPr>
        <w:t xml:space="preserve"> also</w:t>
      </w:r>
      <w:r w:rsidR="009F0D67" w:rsidRPr="00EE6125">
        <w:rPr>
          <w:color w:val="000000"/>
          <w:lang w:val="en-GB" w:eastAsia="en-GB"/>
        </w:rPr>
        <w:t xml:space="preserve"> </w:t>
      </w:r>
      <w:r w:rsidR="009F0D67" w:rsidRPr="00EE6125">
        <w:rPr>
          <w:color w:val="000000"/>
          <w:lang w:val="en-GB"/>
        </w:rPr>
        <w:t xml:space="preserve">requested EULEX to provide additional </w:t>
      </w:r>
      <w:r w:rsidR="009F0D67" w:rsidRPr="00EE6125">
        <w:rPr>
          <w:color w:val="000000"/>
        </w:rPr>
        <w:t>information</w:t>
      </w:r>
      <w:r w:rsidR="009F0D67" w:rsidRPr="00EE6125">
        <w:rPr>
          <w:color w:val="000000"/>
          <w:lang w:val="en-GB" w:eastAsia="en-GB"/>
        </w:rPr>
        <w:t xml:space="preserve"> in relation to the complaint of Ms </w:t>
      </w:r>
      <w:proofErr w:type="spellStart"/>
      <w:r w:rsidR="009F0D67" w:rsidRPr="00EE6125">
        <w:rPr>
          <w:color w:val="000000"/>
          <w:lang w:val="en-GB" w:eastAsia="en-GB"/>
        </w:rPr>
        <w:t>Kabaš</w:t>
      </w:r>
      <w:proofErr w:type="spellEnd"/>
      <w:r w:rsidR="009F0D67" w:rsidRPr="00EE6125">
        <w:rPr>
          <w:color w:val="000000"/>
          <w:lang w:val="en-GB" w:eastAsia="en-GB"/>
        </w:rPr>
        <w:t xml:space="preserve"> case, but EULEX was unable to do so (see § </w:t>
      </w:r>
      <w:r w:rsidR="0037719A">
        <w:fldChar w:fldCharType="begin"/>
      </w:r>
      <w:r w:rsidR="0037719A">
        <w:instrText xml:space="preserve"> REF _Ref372532225 \r \h  \* MERGEFORMAT </w:instrText>
      </w:r>
      <w:r w:rsidR="0037719A">
        <w:fldChar w:fldCharType="separate"/>
      </w:r>
      <w:r w:rsidR="00A35759" w:rsidRPr="00A35759">
        <w:rPr>
          <w:color w:val="000000"/>
          <w:lang w:val="en-GB" w:eastAsia="en-GB"/>
        </w:rPr>
        <w:t>86</w:t>
      </w:r>
      <w:r w:rsidR="0037719A">
        <w:fldChar w:fldCharType="end"/>
      </w:r>
      <w:r w:rsidR="009F0D67" w:rsidRPr="00EE6125">
        <w:rPr>
          <w:color w:val="000000"/>
          <w:lang w:val="en-GB" w:eastAsia="en-GB"/>
        </w:rPr>
        <w:t xml:space="preserve"> above).</w:t>
      </w:r>
    </w:p>
    <w:p w:rsidR="009F0D67" w:rsidRPr="00EE6125" w:rsidRDefault="009F0D67" w:rsidP="00BE6362">
      <w:pPr>
        <w:tabs>
          <w:tab w:val="num" w:pos="450"/>
        </w:tabs>
        <w:suppressAutoHyphens/>
        <w:autoSpaceDE w:val="0"/>
        <w:ind w:left="450" w:hanging="450"/>
        <w:jc w:val="both"/>
        <w:rPr>
          <w:color w:val="000000"/>
        </w:rPr>
      </w:pPr>
    </w:p>
    <w:p w:rsidR="00ED2DB4" w:rsidRPr="00DF22D2" w:rsidRDefault="00ED2DB4" w:rsidP="003D4233">
      <w:pPr>
        <w:numPr>
          <w:ilvl w:val="0"/>
          <w:numId w:val="2"/>
        </w:numPr>
        <w:tabs>
          <w:tab w:val="num" w:pos="450"/>
        </w:tabs>
        <w:ind w:left="450" w:hanging="450"/>
        <w:jc w:val="both"/>
        <w:rPr>
          <w:color w:val="000000"/>
        </w:rPr>
      </w:pPr>
      <w:r w:rsidRPr="00DF22D2">
        <w:rPr>
          <w:color w:val="000000"/>
        </w:rPr>
        <w:t xml:space="preserve">The Panel notes that Section 15 of UNMIK Regulation No. 2006/12 states that the Panel may request the submission from UNMIK of any documents and that the SRSG shall cooperate with the Panel and </w:t>
      </w:r>
      <w:proofErr w:type="gramStart"/>
      <w:r w:rsidRPr="00DF22D2">
        <w:rPr>
          <w:color w:val="000000"/>
        </w:rPr>
        <w:t>provide</w:t>
      </w:r>
      <w:proofErr w:type="gramEnd"/>
      <w:r w:rsidRPr="00DF22D2">
        <w:rPr>
          <w:color w:val="000000"/>
        </w:rPr>
        <w:t xml:space="preserve"> the necessary assistance including, in particular, in the release of documents and information relevant to the complaint</w:t>
      </w:r>
      <w:r w:rsidR="003E24CD" w:rsidRPr="00DF22D2">
        <w:rPr>
          <w:color w:val="000000"/>
        </w:rPr>
        <w:t>s</w:t>
      </w:r>
      <w:r w:rsidRPr="00DF22D2">
        <w:rPr>
          <w:color w:val="000000"/>
        </w:rPr>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proofErr w:type="spellStart"/>
      <w:r w:rsidRPr="00DF22D2">
        <w:rPr>
          <w:rStyle w:val="s7d2086b4"/>
          <w:i/>
          <w:color w:val="000000"/>
        </w:rPr>
        <w:t>Çelikbilek</w:t>
      </w:r>
      <w:proofErr w:type="spellEnd"/>
      <w:r w:rsidR="00A04837" w:rsidRPr="00DF22D2">
        <w:rPr>
          <w:rStyle w:val="s7d2086b4"/>
          <w:i/>
          <w:color w:val="000000"/>
        </w:rPr>
        <w:t xml:space="preserve"> </w:t>
      </w:r>
      <w:r w:rsidRPr="00DF22D2">
        <w:rPr>
          <w:i/>
          <w:color w:val="000000"/>
        </w:rPr>
        <w:t>v. Turkey</w:t>
      </w:r>
      <w:r w:rsidRPr="00DF22D2">
        <w:rPr>
          <w:color w:val="000000"/>
        </w:rPr>
        <w:t xml:space="preserve">, </w:t>
      </w:r>
      <w:r w:rsidRPr="00DF22D2">
        <w:rPr>
          <w:color w:val="000000"/>
          <w:lang w:eastAsia="nl-BE"/>
        </w:rPr>
        <w:t>no. 27693/95, judgment of 31 May 2005</w:t>
      </w:r>
      <w:r w:rsidR="00EB53B5" w:rsidRPr="00DF22D2">
        <w:rPr>
          <w:color w:val="000000"/>
          <w:lang w:eastAsia="nl-BE"/>
        </w:rPr>
        <w:t xml:space="preserve">, </w:t>
      </w:r>
      <w:r w:rsidR="00EB53B5" w:rsidRPr="00DF22D2">
        <w:rPr>
          <w:iCs/>
          <w:color w:val="000000"/>
          <w:lang w:eastAsia="nl-BE"/>
        </w:rPr>
        <w:t>§ 56</w:t>
      </w:r>
      <w:r w:rsidR="00EB53B5" w:rsidRPr="00DF22D2">
        <w:rPr>
          <w:color w:val="000000"/>
          <w:lang w:eastAsia="nl-BE"/>
        </w:rPr>
        <w:t xml:space="preserve">; ECtHR, </w:t>
      </w:r>
      <w:proofErr w:type="spellStart"/>
      <w:r w:rsidR="00EB53B5" w:rsidRPr="00DF22D2">
        <w:rPr>
          <w:i/>
          <w:color w:val="000000"/>
          <w:lang w:eastAsia="nl-BE"/>
        </w:rPr>
        <w:t>Sabanchiyeva</w:t>
      </w:r>
      <w:proofErr w:type="spellEnd"/>
      <w:r w:rsidR="00EB53B5" w:rsidRPr="00DF22D2">
        <w:rPr>
          <w:i/>
          <w:color w:val="000000"/>
          <w:lang w:eastAsia="nl-BE"/>
        </w:rPr>
        <w:t xml:space="preserve"> and Others v. Russia</w:t>
      </w:r>
      <w:r w:rsidR="00EB53B5" w:rsidRPr="00DF22D2">
        <w:rPr>
          <w:iCs/>
          <w:color w:val="000000"/>
          <w:lang w:eastAsia="nl-BE"/>
        </w:rPr>
        <w:t>,</w:t>
      </w:r>
      <w:r w:rsidRPr="00DF22D2">
        <w:rPr>
          <w:iCs/>
          <w:color w:val="000000"/>
          <w:lang w:eastAsia="nl-BE"/>
        </w:rPr>
        <w:t xml:space="preserve"> </w:t>
      </w:r>
      <w:r w:rsidR="00EB53B5" w:rsidRPr="00DF22D2">
        <w:rPr>
          <w:iCs/>
          <w:color w:val="000000"/>
          <w:lang w:eastAsia="nl-BE"/>
        </w:rPr>
        <w:t>no. 38450/05, judgment of 6 June 2013, § 165)</w:t>
      </w:r>
      <w:r w:rsidRPr="00DF22D2">
        <w:rPr>
          <w:iCs/>
          <w:color w:val="000000"/>
          <w:lang w:eastAsia="nl-BE"/>
        </w:rPr>
        <w:t>.</w:t>
      </w:r>
    </w:p>
    <w:p w:rsidR="00ED2DB4" w:rsidRPr="00EE6125" w:rsidRDefault="00ED2DB4" w:rsidP="00BE6362">
      <w:pPr>
        <w:pStyle w:val="ColorfulList-Accent11"/>
        <w:tabs>
          <w:tab w:val="num" w:pos="450"/>
        </w:tabs>
        <w:ind w:left="450" w:hanging="450"/>
        <w:jc w:val="both"/>
        <w:rPr>
          <w:color w:val="000000"/>
        </w:rPr>
      </w:pPr>
    </w:p>
    <w:p w:rsidR="00730962" w:rsidRPr="00DF22D2" w:rsidRDefault="00ED2DB4" w:rsidP="003D4233">
      <w:pPr>
        <w:numPr>
          <w:ilvl w:val="0"/>
          <w:numId w:val="2"/>
        </w:numPr>
        <w:tabs>
          <w:tab w:val="num" w:pos="450"/>
        </w:tabs>
        <w:ind w:left="450" w:hanging="450"/>
        <w:jc w:val="both"/>
        <w:rPr>
          <w:color w:val="000000"/>
        </w:rPr>
      </w:pPr>
      <w:r w:rsidRPr="00EE6125">
        <w:rPr>
          <w:color w:val="000000"/>
        </w:rPr>
        <w:t xml:space="preserve">The Panel also notes that the proper maintenance of investigative files concerning crimes such as killings and disappearances, from the opening of the investigation to their handing over, is </w:t>
      </w:r>
      <w:r w:rsidRPr="00DF22D2">
        <w:rPr>
          <w:color w:val="000000"/>
        </w:rPr>
        <w:t xml:space="preserve">crucial to the continuation of such investigations and could thus raise </w:t>
      </w:r>
      <w:r w:rsidRPr="00DF22D2">
        <w:rPr>
          <w:i/>
          <w:color w:val="000000"/>
        </w:rPr>
        <w:t>per se</w:t>
      </w:r>
      <w:r w:rsidRPr="00DF22D2">
        <w:rPr>
          <w:color w:val="000000"/>
        </w:rPr>
        <w:t xml:space="preserve"> issues under Article 2</w:t>
      </w:r>
      <w:r w:rsidR="00EB53B5" w:rsidRPr="00DF22D2">
        <w:rPr>
          <w:color w:val="000000"/>
        </w:rPr>
        <w:t xml:space="preserve"> (see </w:t>
      </w:r>
      <w:r w:rsidR="00EB53B5" w:rsidRPr="00DF22D2">
        <w:rPr>
          <w:lang w:val="en-GB"/>
        </w:rPr>
        <w:t xml:space="preserve">Human Rights Advisory Panel [HRAP], </w:t>
      </w:r>
      <w:r w:rsidR="00EB53B5" w:rsidRPr="00DF22D2">
        <w:rPr>
          <w:i/>
          <w:lang w:val="en-GB"/>
        </w:rPr>
        <w:t>Bulatović</w:t>
      </w:r>
      <w:r w:rsidR="00EB53B5" w:rsidRPr="00DF22D2">
        <w:rPr>
          <w:lang w:val="en-GB"/>
        </w:rPr>
        <w:t>, no. 166/09, opinion of 13 November 2014, § 62)</w:t>
      </w:r>
      <w:r w:rsidR="00DF00BD" w:rsidRPr="00DF22D2">
        <w:rPr>
          <w:color w:val="000000"/>
        </w:rPr>
        <w:t>.</w:t>
      </w:r>
    </w:p>
    <w:p w:rsidR="00730962" w:rsidRPr="00EE6125" w:rsidRDefault="00730962" w:rsidP="00730962">
      <w:pPr>
        <w:pStyle w:val="ColorfulList-Accent11"/>
        <w:rPr>
          <w:color w:val="000000"/>
        </w:rPr>
      </w:pPr>
    </w:p>
    <w:p w:rsidR="00730962" w:rsidRPr="007A2DAB" w:rsidRDefault="00730962" w:rsidP="00730962">
      <w:pPr>
        <w:numPr>
          <w:ilvl w:val="0"/>
          <w:numId w:val="2"/>
        </w:numPr>
        <w:tabs>
          <w:tab w:val="num" w:pos="450"/>
        </w:tabs>
        <w:ind w:left="450" w:hanging="450"/>
        <w:jc w:val="both"/>
        <w:rPr>
          <w:b/>
          <w:lang w:val="en-GB"/>
        </w:rPr>
      </w:pPr>
      <w:bookmarkStart w:id="75" w:name="_Ref373945461"/>
      <w:r w:rsidRPr="007A2DAB">
        <w:t xml:space="preserve">The Panel has no reason to doubt that UNMIK undertook all efforts in order to obtain the relevant </w:t>
      </w:r>
      <w:r w:rsidRPr="00EE6125">
        <w:rPr>
          <w:color w:val="000000"/>
        </w:rPr>
        <w:t>investigative</w:t>
      </w:r>
      <w:r w:rsidRPr="007A2DAB">
        <w:t xml:space="preserve"> documents. However, UNMIK has not provided any explanation as to why the documentation may be incomplete, nor with respect to which parts.</w:t>
      </w:r>
      <w:bookmarkEnd w:id="75"/>
    </w:p>
    <w:p w:rsidR="00ED2DB4" w:rsidRPr="00EE6125" w:rsidRDefault="00ED2DB4" w:rsidP="00BE6362">
      <w:pPr>
        <w:pStyle w:val="ColorfulList-Accent11"/>
        <w:tabs>
          <w:tab w:val="num" w:pos="450"/>
        </w:tabs>
        <w:ind w:left="450" w:hanging="450"/>
        <w:rPr>
          <w:color w:val="000000"/>
        </w:rPr>
      </w:pPr>
    </w:p>
    <w:p w:rsidR="00ED2DB4" w:rsidRPr="00EE6125" w:rsidRDefault="00ED2DB4" w:rsidP="003D4233">
      <w:pPr>
        <w:numPr>
          <w:ilvl w:val="0"/>
          <w:numId w:val="2"/>
        </w:numPr>
        <w:tabs>
          <w:tab w:val="num" w:pos="450"/>
        </w:tabs>
        <w:ind w:left="450" w:hanging="450"/>
        <w:jc w:val="both"/>
        <w:rPr>
          <w:color w:val="000000"/>
        </w:rPr>
      </w:pPr>
      <w:r w:rsidRPr="00EE6125">
        <w:rPr>
          <w:color w:val="000000"/>
        </w:rPr>
        <w:t>The Panel itself is not in the position to verify the completeness of the investigative files received. The Panel will therefore assess the merits of the complaint</w:t>
      </w:r>
      <w:r w:rsidR="003E24CD" w:rsidRPr="00EE6125">
        <w:rPr>
          <w:color w:val="000000"/>
        </w:rPr>
        <w:t>s</w:t>
      </w:r>
      <w:r w:rsidRPr="00EE6125">
        <w:rPr>
          <w:color w:val="000000"/>
        </w:rPr>
        <w:t xml:space="preserve"> on the basis of </w:t>
      </w:r>
      <w:r w:rsidRPr="00EE6125">
        <w:rPr>
          <w:color w:val="000000"/>
        </w:rPr>
        <w:lastRenderedPageBreak/>
        <w:t xml:space="preserve">documents made available (in this sense, see ECtHR, </w:t>
      </w:r>
      <w:proofErr w:type="spellStart"/>
      <w:r w:rsidRPr="00EE6125">
        <w:rPr>
          <w:i/>
          <w:color w:val="000000"/>
        </w:rPr>
        <w:t>Tsechoyev</w:t>
      </w:r>
      <w:proofErr w:type="spellEnd"/>
      <w:r w:rsidRPr="00EE6125">
        <w:rPr>
          <w:i/>
          <w:color w:val="000000"/>
        </w:rPr>
        <w:t xml:space="preserve"> v. Russia</w:t>
      </w:r>
      <w:r w:rsidRPr="00EE6125">
        <w:rPr>
          <w:color w:val="000000"/>
        </w:rPr>
        <w:t>, no. 39358/05, judgment of</w:t>
      </w:r>
      <w:r w:rsidR="00572BFF" w:rsidRPr="00EE6125">
        <w:rPr>
          <w:color w:val="000000"/>
        </w:rPr>
        <w:t xml:space="preserve"> </w:t>
      </w:r>
      <w:r w:rsidRPr="00EE6125">
        <w:rPr>
          <w:color w:val="000000"/>
        </w:rPr>
        <w:t xml:space="preserve">15 March 2011, § 146). </w:t>
      </w:r>
    </w:p>
    <w:p w:rsidR="001A6816" w:rsidRPr="00EE6125" w:rsidRDefault="001A6816" w:rsidP="00BE6362">
      <w:pPr>
        <w:tabs>
          <w:tab w:val="num" w:pos="450"/>
        </w:tabs>
        <w:ind w:left="450" w:hanging="450"/>
        <w:contextualSpacing/>
        <w:jc w:val="both"/>
        <w:rPr>
          <w:i/>
          <w:color w:val="000000"/>
          <w:lang w:val="en-GB"/>
        </w:rPr>
      </w:pPr>
    </w:p>
    <w:p w:rsidR="001A6816" w:rsidRPr="00EE6125" w:rsidRDefault="001A6816" w:rsidP="00F0555D">
      <w:pPr>
        <w:pStyle w:val="ColorfulList-Accent11"/>
        <w:numPr>
          <w:ilvl w:val="0"/>
          <w:numId w:val="5"/>
        </w:numPr>
        <w:tabs>
          <w:tab w:val="num" w:pos="270"/>
        </w:tabs>
        <w:suppressAutoHyphens w:val="0"/>
        <w:ind w:left="270" w:hanging="270"/>
        <w:contextualSpacing/>
        <w:jc w:val="both"/>
        <w:rPr>
          <w:i/>
          <w:color w:val="000000"/>
          <w:lang w:val="en-GB"/>
        </w:rPr>
      </w:pPr>
      <w:r w:rsidRPr="000D0C3A">
        <w:rPr>
          <w:i/>
          <w:lang w:val="en-GB" w:eastAsia="en-US"/>
        </w:rPr>
        <w:t>General</w:t>
      </w:r>
      <w:r w:rsidRPr="00EE6125">
        <w:rPr>
          <w:i/>
          <w:color w:val="000000"/>
          <w:lang w:val="en-GB"/>
        </w:rPr>
        <w:t xml:space="preserve"> principles concerning the obligation to conduct an effective investigation under Article 2</w:t>
      </w:r>
    </w:p>
    <w:p w:rsidR="001A6816" w:rsidRPr="00EE6125" w:rsidRDefault="001A6816" w:rsidP="00BE6362">
      <w:pPr>
        <w:pStyle w:val="ColorfulList-Accent11"/>
        <w:tabs>
          <w:tab w:val="num" w:pos="450"/>
        </w:tabs>
        <w:ind w:left="450" w:hanging="450"/>
        <w:rPr>
          <w:color w:val="000000"/>
          <w:lang w:val="en-GB"/>
        </w:rPr>
      </w:pPr>
    </w:p>
    <w:p w:rsidR="00DC0DDD" w:rsidRPr="00EE6125" w:rsidRDefault="001D6AF7" w:rsidP="003D4233">
      <w:pPr>
        <w:numPr>
          <w:ilvl w:val="0"/>
          <w:numId w:val="2"/>
        </w:numPr>
        <w:tabs>
          <w:tab w:val="num" w:pos="450"/>
        </w:tabs>
        <w:ind w:left="450" w:hanging="450"/>
        <w:jc w:val="both"/>
        <w:rPr>
          <w:i/>
          <w:color w:val="000000"/>
          <w:lang w:val="en-GB"/>
        </w:rPr>
      </w:pPr>
      <w:bookmarkStart w:id="76" w:name="_Ref348512105"/>
      <w:r w:rsidRPr="00EE6125">
        <w:rPr>
          <w:color w:val="000000"/>
          <w:lang w:val="en-GB"/>
        </w:rPr>
        <w:t>T</w:t>
      </w:r>
      <w:r w:rsidR="00DC0DDD" w:rsidRPr="00EE6125">
        <w:rPr>
          <w:color w:val="000000"/>
          <w:lang w:val="en-GB"/>
        </w:rPr>
        <w:t xml:space="preserve">he Panel notes that the positive obligation to investigate disappearances is widely accepted in international human rights law since at least the case of the Inter-American Court of Human Rights </w:t>
      </w:r>
      <w:r w:rsidR="00DC0DDD" w:rsidRPr="00EE6125">
        <w:rPr>
          <w:i/>
          <w:color w:val="000000"/>
          <w:lang w:val="en-GB"/>
        </w:rPr>
        <w:t xml:space="preserve">Velásquez-Rodríguez </w:t>
      </w:r>
      <w:r w:rsidR="00DC0DDD" w:rsidRPr="00EE6125">
        <w:rPr>
          <w:color w:val="000000"/>
          <w:lang w:val="en-GB"/>
        </w:rPr>
        <w:t xml:space="preserve">(see Inter-American Court of Human Rights (IACtHR), </w:t>
      </w:r>
      <w:r w:rsidR="00DC0DDD" w:rsidRPr="00EE6125">
        <w:rPr>
          <w:i/>
          <w:color w:val="000000"/>
          <w:lang w:val="en-GB"/>
        </w:rPr>
        <w:t>Velásquez-Rodríguez v. Honduras</w:t>
      </w:r>
      <w:r w:rsidR="00DC0DDD" w:rsidRPr="00EE6125">
        <w:rPr>
          <w:color w:val="000000"/>
          <w:lang w:val="en-GB"/>
        </w:rPr>
        <w:t xml:space="preserve">, judgment of 29 July 1988, </w:t>
      </w:r>
      <w:proofErr w:type="gramStart"/>
      <w:r w:rsidR="00DC0DDD" w:rsidRPr="00EE6125">
        <w:rPr>
          <w:color w:val="000000"/>
          <w:lang w:val="en-GB"/>
        </w:rPr>
        <w:t>Series</w:t>
      </w:r>
      <w:proofErr w:type="gramEnd"/>
      <w:r w:rsidR="00DC0DDD" w:rsidRPr="00EE6125">
        <w:rPr>
          <w:color w:val="000000"/>
          <w:lang w:val="en-GB"/>
        </w:rPr>
        <w:t xml:space="preserve"> C No. 4). The positive obligation has also been stated by the HRC as stemming from Article 6 (right to </w:t>
      </w:r>
      <w:r w:rsidR="00DC0DDD" w:rsidRPr="00EE6125">
        <w:rPr>
          <w:color w:val="000000"/>
        </w:rPr>
        <w:t>life</w:t>
      </w:r>
      <w:r w:rsidR="00DC0DDD" w:rsidRPr="00EE6125">
        <w:rPr>
          <w:color w:val="000000"/>
          <w:lang w:val="en-GB"/>
        </w:rPr>
        <w:t xml:space="preserve">), Article 7 (prohibition of cruel and inhuman treatment) and Article 9 (right to liberty and security of person), read in conjunction with Article 2(3) (right to an effective remedy) of the ICCPR(see HRC, General Comment No. 6, 30 April 1982, § 4; HRC, General Comment No. 31, 26 May 2004, §§ 8 and 18, CCPR/C/21/Rev.1/Add. 13; see also, among others, HRC, </w:t>
      </w:r>
      <w:r w:rsidR="00DC0DDD" w:rsidRPr="00EE6125">
        <w:rPr>
          <w:i/>
          <w:color w:val="000000"/>
          <w:lang w:val="en-GB"/>
        </w:rPr>
        <w:t>Mohamed El Awani, v. Libyan Arab Jamahiriya</w:t>
      </w:r>
      <w:r w:rsidR="00DC0DDD" w:rsidRPr="00EE6125">
        <w:rPr>
          <w:color w:val="000000"/>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76"/>
    </w:p>
    <w:p w:rsidR="00DC0DDD" w:rsidRPr="00EE6125" w:rsidRDefault="00DC0DDD" w:rsidP="00BE6362">
      <w:pPr>
        <w:pStyle w:val="ColorfulList-Accent11"/>
        <w:tabs>
          <w:tab w:val="num" w:pos="450"/>
        </w:tabs>
        <w:ind w:left="450" w:hanging="450"/>
        <w:jc w:val="both"/>
        <w:rPr>
          <w:color w:val="000000"/>
          <w:lang w:val="en-GB" w:eastAsia="en-US"/>
        </w:rPr>
      </w:pPr>
    </w:p>
    <w:p w:rsidR="00DC0DDD" w:rsidRPr="00EE6125" w:rsidRDefault="00DC0DDD" w:rsidP="003D4233">
      <w:pPr>
        <w:numPr>
          <w:ilvl w:val="0"/>
          <w:numId w:val="2"/>
        </w:numPr>
        <w:tabs>
          <w:tab w:val="num" w:pos="450"/>
        </w:tabs>
        <w:ind w:left="450" w:hanging="450"/>
        <w:jc w:val="both"/>
        <w:rPr>
          <w:color w:val="000000"/>
          <w:lang w:val="en-GB"/>
        </w:rPr>
      </w:pPr>
      <w:bookmarkStart w:id="77" w:name="_Ref347561805"/>
      <w:r w:rsidRPr="00EE6125">
        <w:rPr>
          <w:color w:val="000000"/>
          <w:lang w:val="en-GB"/>
        </w:rPr>
        <w:t>In or</w:t>
      </w:r>
      <w:r w:rsidR="00B864E3" w:rsidRPr="00EE6125">
        <w:rPr>
          <w:color w:val="000000"/>
          <w:lang w:val="en-GB"/>
        </w:rPr>
        <w:t>der to address the complainants’</w:t>
      </w:r>
      <w:r w:rsidRPr="00EE6125">
        <w:rPr>
          <w:color w:val="000000"/>
          <w:lang w:val="en-GB"/>
        </w:rPr>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w:t>
      </w:r>
      <w:r w:rsidRPr="00EE6125">
        <w:rPr>
          <w:color w:val="000000"/>
        </w:rPr>
        <w:t>jurisdiction</w:t>
      </w:r>
      <w:r w:rsidRPr="00EE6125">
        <w:rPr>
          <w:color w:val="000000"/>
          <w:lang w:val="en-GB"/>
        </w:rPr>
        <w:t xml:space="preserve"> the rights and freedoms defined in [the] Convention”, requires by implication that there should be some form of effective official investigation when individuals have been killed (see, </w:t>
      </w:r>
      <w:r w:rsidRPr="00EE6125">
        <w:rPr>
          <w:i/>
          <w:color w:val="000000"/>
          <w:lang w:val="en-GB"/>
        </w:rPr>
        <w:t>mutatis mutandis</w:t>
      </w:r>
      <w:r w:rsidRPr="00EE6125">
        <w:rPr>
          <w:color w:val="000000"/>
          <w:lang w:val="en-GB"/>
        </w:rPr>
        <w:t xml:space="preserve">, ECtHR, </w:t>
      </w:r>
      <w:r w:rsidRPr="00EE6125">
        <w:rPr>
          <w:i/>
          <w:color w:val="000000"/>
          <w:lang w:val="en-GB"/>
        </w:rPr>
        <w:t>McCann and Others v. the United Kingdom</w:t>
      </w:r>
      <w:r w:rsidRPr="00EE6125">
        <w:rPr>
          <w:color w:val="000000"/>
          <w:lang w:val="en-GB"/>
        </w:rPr>
        <w:t xml:space="preserve">, judgment of 27 September 1995, § 161, Series A no. 324; and ECtHR, </w:t>
      </w:r>
      <w:r w:rsidRPr="00EE6125">
        <w:rPr>
          <w:i/>
          <w:color w:val="000000"/>
          <w:lang w:val="en-GB"/>
        </w:rPr>
        <w:t>Kaya v. Turkey</w:t>
      </w:r>
      <w:r w:rsidRPr="00EE6125">
        <w:rPr>
          <w:color w:val="000000"/>
          <w:lang w:val="en-GB"/>
        </w:rPr>
        <w:t xml:space="preserve">, judgment of 19 February 1998, § 105, </w:t>
      </w:r>
      <w:r w:rsidRPr="00EE6125">
        <w:rPr>
          <w:i/>
          <w:iCs/>
          <w:color w:val="000000"/>
          <w:lang w:val="en-GB"/>
        </w:rPr>
        <w:t xml:space="preserve">Reports of Judgments and Decisions </w:t>
      </w:r>
      <w:r w:rsidRPr="00EE6125">
        <w:rPr>
          <w:color w:val="000000"/>
          <w:lang w:val="en-GB"/>
        </w:rPr>
        <w:t xml:space="preserve">1998-I; see also ECtHR, </w:t>
      </w:r>
      <w:proofErr w:type="spellStart"/>
      <w:r w:rsidRPr="00EE6125">
        <w:rPr>
          <w:i/>
          <w:color w:val="000000"/>
          <w:lang w:val="en-GB"/>
        </w:rPr>
        <w:t>Jasinskis</w:t>
      </w:r>
      <w:proofErr w:type="spellEnd"/>
      <w:r w:rsidRPr="00EE6125">
        <w:rPr>
          <w:i/>
          <w:color w:val="000000"/>
          <w:lang w:val="en-GB"/>
        </w:rPr>
        <w:t xml:space="preserve"> v. Latvia</w:t>
      </w:r>
      <w:r w:rsidRPr="00EE6125">
        <w:rPr>
          <w:color w:val="000000"/>
          <w:lang w:val="en-GB"/>
        </w:rPr>
        <w:t xml:space="preserve">, no. 45744/08, judgment of 21 December 2010, § 71). The duty to conduct such an investigation arises in all cases of killing and other suspicious death, whether the perpetrators were private persons or State agents or are unknown (see ECtHR, </w:t>
      </w:r>
      <w:proofErr w:type="spellStart"/>
      <w:r w:rsidRPr="00EE6125">
        <w:rPr>
          <w:i/>
          <w:color w:val="000000"/>
          <w:lang w:val="en-GB"/>
        </w:rPr>
        <w:t>Kolevi</w:t>
      </w:r>
      <w:proofErr w:type="spellEnd"/>
      <w:r w:rsidRPr="00EE6125">
        <w:rPr>
          <w:i/>
          <w:color w:val="000000"/>
          <w:lang w:val="en-GB"/>
        </w:rPr>
        <w:t xml:space="preserve"> v. Bulgaria</w:t>
      </w:r>
      <w:r w:rsidRPr="00EE6125">
        <w:rPr>
          <w:color w:val="000000"/>
          <w:lang w:val="en-GB"/>
        </w:rPr>
        <w:t>, no. 1108/02, judgment of 5 November 2009, § 191).</w:t>
      </w:r>
      <w:bookmarkEnd w:id="77"/>
    </w:p>
    <w:p w:rsidR="00DC0DDD" w:rsidRPr="00EE6125" w:rsidRDefault="00DC0DDD" w:rsidP="00BE6362">
      <w:pPr>
        <w:pStyle w:val="ColorfulList-Accent11"/>
        <w:tabs>
          <w:tab w:val="num" w:pos="450"/>
        </w:tabs>
        <w:suppressAutoHyphens w:val="0"/>
        <w:ind w:left="450" w:hanging="450"/>
        <w:contextualSpacing/>
        <w:jc w:val="both"/>
        <w:rPr>
          <w:color w:val="000000"/>
          <w:lang w:val="en-GB" w:eastAsia="en-US"/>
        </w:rPr>
      </w:pPr>
    </w:p>
    <w:p w:rsidR="00DC0DDD" w:rsidRPr="00EE6125" w:rsidRDefault="00DC0DDD" w:rsidP="003D4233">
      <w:pPr>
        <w:numPr>
          <w:ilvl w:val="0"/>
          <w:numId w:val="2"/>
        </w:numPr>
        <w:tabs>
          <w:tab w:val="num" w:pos="450"/>
        </w:tabs>
        <w:ind w:left="450" w:hanging="450"/>
        <w:jc w:val="both"/>
        <w:rPr>
          <w:color w:val="000000"/>
          <w:lang w:val="en-GB"/>
        </w:rPr>
      </w:pPr>
      <w:bookmarkStart w:id="78" w:name="_Ref401160192"/>
      <w:r w:rsidRPr="00EE6125">
        <w:rPr>
          <w:color w:val="000000"/>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w:t>
      </w:r>
      <w:r w:rsidRPr="00EE6125">
        <w:rPr>
          <w:color w:val="000000"/>
        </w:rPr>
        <w:t>disappearance</w:t>
      </w:r>
      <w:r w:rsidRPr="00EE6125">
        <w:rPr>
          <w:color w:val="000000"/>
          <w:lang w:val="en-GB"/>
        </w:rPr>
        <w:t xml:space="preserve"> was caused by an agent of the State (see ECtHR </w:t>
      </w:r>
      <w:r w:rsidRPr="00730962">
        <w:rPr>
          <w:lang w:val="en-GB"/>
        </w:rPr>
        <w:t xml:space="preserve">[GC], </w:t>
      </w:r>
      <w:r w:rsidRPr="00730962">
        <w:rPr>
          <w:i/>
          <w:lang w:val="en-GB"/>
        </w:rPr>
        <w:t xml:space="preserve">Varnava and Others v. </w:t>
      </w:r>
      <w:r w:rsidRPr="00730962">
        <w:rPr>
          <w:i/>
          <w:lang w:val="en-GB"/>
        </w:rPr>
        <w:lastRenderedPageBreak/>
        <w:t>Turkey</w:t>
      </w:r>
      <w:r w:rsidRPr="00730962">
        <w:rPr>
          <w:lang w:val="en-GB"/>
        </w:rPr>
        <w:t>,</w:t>
      </w:r>
      <w:r w:rsidR="00726F40" w:rsidRPr="00730962">
        <w:rPr>
          <w:lang w:val="en-GB"/>
        </w:rPr>
        <w:t xml:space="preserve"> </w:t>
      </w:r>
      <w:r w:rsidR="0026408E" w:rsidRPr="00730962">
        <w:rPr>
          <w:lang w:val="en-GB"/>
        </w:rPr>
        <w:t xml:space="preserve">cited in § </w:t>
      </w:r>
      <w:r w:rsidR="0037719A">
        <w:fldChar w:fldCharType="begin"/>
      </w:r>
      <w:r w:rsidR="0037719A">
        <w:instrText xml:space="preserve"> REF _Ref401157497 \r \h  \* MERGEFORMAT </w:instrText>
      </w:r>
      <w:r w:rsidR="0037719A">
        <w:fldChar w:fldCharType="separate"/>
      </w:r>
      <w:r w:rsidR="00A35759" w:rsidRPr="00A35759">
        <w:rPr>
          <w:lang w:val="en-GB"/>
        </w:rPr>
        <w:t>124</w:t>
      </w:r>
      <w:r w:rsidR="0037719A">
        <w:fldChar w:fldCharType="end"/>
      </w:r>
      <w:r w:rsidR="00730962" w:rsidRPr="00730962">
        <w:rPr>
          <w:lang w:val="en-GB"/>
        </w:rPr>
        <w:t xml:space="preserve"> </w:t>
      </w:r>
      <w:r w:rsidRPr="00730962">
        <w:rPr>
          <w:lang w:val="en-GB"/>
        </w:rPr>
        <w:t>above, at § 136</w:t>
      </w:r>
      <w:r w:rsidR="008C774B" w:rsidRPr="00730962">
        <w:rPr>
          <w:lang w:val="en-GB"/>
        </w:rPr>
        <w:t xml:space="preserve">; ECtHR [GC], </w:t>
      </w:r>
      <w:r w:rsidR="008C774B" w:rsidRPr="00730962">
        <w:rPr>
          <w:i/>
          <w:lang w:val="en-GB"/>
        </w:rPr>
        <w:t>Mocanu and</w:t>
      </w:r>
      <w:r w:rsidR="008C774B" w:rsidRPr="00EE6125">
        <w:rPr>
          <w:i/>
          <w:color w:val="000000"/>
          <w:lang w:val="en-GB"/>
        </w:rPr>
        <w:t xml:space="preserve"> Others v. Romania</w:t>
      </w:r>
      <w:r w:rsidR="008C774B" w:rsidRPr="00EE6125">
        <w:rPr>
          <w:color w:val="000000"/>
          <w:lang w:val="en-GB"/>
        </w:rPr>
        <w:t>, nos 10865/09, 45886/07 and 32431/08, judgment of 17 September 2014, § 317</w:t>
      </w:r>
      <w:r w:rsidRPr="00EE6125">
        <w:rPr>
          <w:color w:val="000000"/>
          <w:lang w:val="en-GB"/>
        </w:rPr>
        <w:t>).</w:t>
      </w:r>
      <w:bookmarkEnd w:id="78"/>
    </w:p>
    <w:p w:rsidR="00641418" w:rsidRPr="00EE6125" w:rsidRDefault="00641418" w:rsidP="00641418">
      <w:pPr>
        <w:pStyle w:val="ColorfulList-Accent11"/>
        <w:rPr>
          <w:color w:val="000000"/>
          <w:lang w:val="en-GB"/>
        </w:rPr>
      </w:pPr>
    </w:p>
    <w:p w:rsidR="00DC0DDD" w:rsidRPr="00EE6125" w:rsidRDefault="00DC0DDD" w:rsidP="003D4233">
      <w:pPr>
        <w:numPr>
          <w:ilvl w:val="0"/>
          <w:numId w:val="2"/>
        </w:numPr>
        <w:tabs>
          <w:tab w:val="num" w:pos="450"/>
        </w:tabs>
        <w:ind w:left="450" w:hanging="450"/>
        <w:jc w:val="both"/>
        <w:rPr>
          <w:color w:val="000000"/>
          <w:lang w:val="en-GB"/>
        </w:rPr>
      </w:pPr>
      <w:bookmarkStart w:id="79" w:name="_Ref346723791"/>
      <w:r w:rsidRPr="00EE6125">
        <w:rPr>
          <w:color w:val="000000"/>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proofErr w:type="spellStart"/>
      <w:r w:rsidRPr="00EE6125">
        <w:rPr>
          <w:i/>
          <w:color w:val="000000"/>
          <w:lang w:val="en-GB"/>
        </w:rPr>
        <w:t>Ahmet</w:t>
      </w:r>
      <w:proofErr w:type="spellEnd"/>
      <w:r w:rsidR="002E1AC9" w:rsidRPr="00EE6125">
        <w:rPr>
          <w:i/>
          <w:color w:val="000000"/>
          <w:lang w:val="en-GB"/>
        </w:rPr>
        <w:t xml:space="preserve"> </w:t>
      </w:r>
      <w:proofErr w:type="spellStart"/>
      <w:r w:rsidRPr="00EE6125">
        <w:rPr>
          <w:i/>
          <w:color w:val="000000"/>
          <w:lang w:val="en-GB"/>
        </w:rPr>
        <w:t>Özkan</w:t>
      </w:r>
      <w:proofErr w:type="spellEnd"/>
      <w:r w:rsidRPr="00EE6125">
        <w:rPr>
          <w:i/>
          <w:color w:val="000000"/>
          <w:lang w:val="en-GB"/>
        </w:rPr>
        <w:t xml:space="preserve"> and Others v. Turkey</w:t>
      </w:r>
      <w:r w:rsidRPr="00EE6125">
        <w:rPr>
          <w:color w:val="000000"/>
          <w:lang w:val="en-GB"/>
        </w:rPr>
        <w:t xml:space="preserve">, no. 21689/93, judgment of 6 April 2004, § 310; see also ECtHR, </w:t>
      </w:r>
      <w:proofErr w:type="spellStart"/>
      <w:r w:rsidRPr="00EE6125">
        <w:rPr>
          <w:i/>
          <w:color w:val="000000"/>
          <w:lang w:val="en-GB"/>
        </w:rPr>
        <w:t>Isayeva</w:t>
      </w:r>
      <w:proofErr w:type="spellEnd"/>
      <w:r w:rsidRPr="00EE6125">
        <w:rPr>
          <w:i/>
          <w:color w:val="000000"/>
          <w:lang w:val="en-GB"/>
        </w:rPr>
        <w:t xml:space="preserve"> v. Russia</w:t>
      </w:r>
      <w:r w:rsidRPr="00EE6125">
        <w:rPr>
          <w:color w:val="000000"/>
          <w:lang w:val="en-GB"/>
        </w:rPr>
        <w:t>, no. 57950/00, judgment of 24 February 2005, § 210</w:t>
      </w:r>
      <w:r w:rsidR="008C774B" w:rsidRPr="00EE6125">
        <w:rPr>
          <w:color w:val="000000"/>
          <w:lang w:val="en-GB"/>
        </w:rPr>
        <w:t xml:space="preserve">; ECtHR [GC], </w:t>
      </w:r>
      <w:r w:rsidR="008C774B" w:rsidRPr="00EE6125">
        <w:rPr>
          <w:i/>
          <w:color w:val="000000"/>
          <w:lang w:val="en-GB"/>
        </w:rPr>
        <w:t>Mocanu and Others v. Romania</w:t>
      </w:r>
      <w:r w:rsidR="008C774B" w:rsidRPr="00EE6125">
        <w:rPr>
          <w:color w:val="000000"/>
          <w:lang w:val="en-GB"/>
        </w:rPr>
        <w:t xml:space="preserve">, cited </w:t>
      </w:r>
      <w:r w:rsidR="007C682E">
        <w:rPr>
          <w:color w:val="000000"/>
          <w:lang w:val="en-GB"/>
        </w:rPr>
        <w:t xml:space="preserve">in § 157 </w:t>
      </w:r>
      <w:r w:rsidR="008C774B" w:rsidRPr="00EE6125">
        <w:rPr>
          <w:color w:val="000000"/>
          <w:lang w:val="en-GB"/>
        </w:rPr>
        <w:t>above, § 321</w:t>
      </w:r>
      <w:r w:rsidRPr="00EE6125">
        <w:rPr>
          <w:color w:val="000000"/>
          <w:lang w:val="en-GB"/>
        </w:rPr>
        <w:t>).</w:t>
      </w:r>
      <w:bookmarkEnd w:id="79"/>
    </w:p>
    <w:p w:rsidR="00DC0DDD" w:rsidRPr="00EE6125" w:rsidRDefault="00DC0DDD" w:rsidP="00BE6362">
      <w:pPr>
        <w:tabs>
          <w:tab w:val="num" w:pos="450"/>
        </w:tabs>
        <w:suppressAutoHyphens/>
        <w:autoSpaceDE w:val="0"/>
        <w:ind w:left="450" w:hanging="450"/>
        <w:jc w:val="both"/>
        <w:rPr>
          <w:color w:val="000000"/>
          <w:lang w:val="en-GB"/>
        </w:rPr>
      </w:pPr>
    </w:p>
    <w:p w:rsidR="00DC0DDD" w:rsidRPr="00EE6125" w:rsidRDefault="00DC0DDD" w:rsidP="003D4233">
      <w:pPr>
        <w:numPr>
          <w:ilvl w:val="0"/>
          <w:numId w:val="2"/>
        </w:numPr>
        <w:tabs>
          <w:tab w:val="num" w:pos="450"/>
        </w:tabs>
        <w:ind w:left="450" w:hanging="450"/>
        <w:jc w:val="both"/>
        <w:rPr>
          <w:color w:val="000000"/>
          <w:lang w:val="en-GB"/>
        </w:rPr>
      </w:pPr>
      <w:bookmarkStart w:id="80" w:name="_Ref346724174"/>
      <w:r w:rsidRPr="00EE6125">
        <w:rPr>
          <w:color w:val="000000"/>
          <w:lang w:val="en-GB"/>
        </w:rPr>
        <w:t>Setting out the standards of an effective investigation, the Court has stated that beside</w:t>
      </w:r>
      <w:r w:rsidR="008564ED">
        <w:rPr>
          <w:color w:val="000000"/>
          <w:lang w:val="en-GB"/>
        </w:rPr>
        <w:t>s</w:t>
      </w:r>
      <w:r w:rsidRPr="00EE6125">
        <w:rPr>
          <w:color w:val="000000"/>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EE6125">
        <w:rPr>
          <w:i/>
          <w:color w:val="000000"/>
          <w:lang w:val="en-GB"/>
        </w:rPr>
        <w:t>, Varnava and Others v. Turkey</w:t>
      </w:r>
      <w:r w:rsidRPr="00EE6125">
        <w:rPr>
          <w:color w:val="000000"/>
          <w:lang w:val="en-GB"/>
        </w:rPr>
        <w:t xml:space="preserve">, cited in § </w:t>
      </w:r>
      <w:r w:rsidR="0037719A">
        <w:fldChar w:fldCharType="begin"/>
      </w:r>
      <w:r w:rsidR="0037719A">
        <w:instrText xml:space="preserve"> REF _Ref401157497 \r \h  \* MERGEFORMAT </w:instrText>
      </w:r>
      <w:r w:rsidR="0037719A">
        <w:fldChar w:fldCharType="separate"/>
      </w:r>
      <w:r w:rsidR="00A35759" w:rsidRPr="00A35759">
        <w:rPr>
          <w:lang w:val="en-GB"/>
        </w:rPr>
        <w:t>124</w:t>
      </w:r>
      <w:r w:rsidR="0037719A">
        <w:fldChar w:fldCharType="end"/>
      </w:r>
      <w:r w:rsidR="00730962" w:rsidRPr="00730962">
        <w:rPr>
          <w:lang w:val="en-GB"/>
        </w:rPr>
        <w:t xml:space="preserve"> </w:t>
      </w:r>
      <w:r w:rsidRPr="00EE6125">
        <w:rPr>
          <w:color w:val="000000"/>
          <w:lang w:val="en-GB"/>
        </w:rPr>
        <w:t xml:space="preserve">above, at § 191; see also ECtHR, </w:t>
      </w:r>
      <w:r w:rsidRPr="00EE6125">
        <w:rPr>
          <w:i/>
          <w:color w:val="000000"/>
          <w:lang w:val="en-GB"/>
        </w:rPr>
        <w:t>Palić v. Bosnia and Herzegovina</w:t>
      </w:r>
      <w:r w:rsidRPr="00EE6125">
        <w:rPr>
          <w:color w:val="000000"/>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proofErr w:type="spellStart"/>
      <w:r w:rsidRPr="00EE6125">
        <w:rPr>
          <w:i/>
          <w:color w:val="000000"/>
          <w:lang w:val="en-GB"/>
        </w:rPr>
        <w:t>Ahmet</w:t>
      </w:r>
      <w:proofErr w:type="spellEnd"/>
      <w:r w:rsidR="002E1AC9" w:rsidRPr="00EE6125">
        <w:rPr>
          <w:i/>
          <w:color w:val="000000"/>
          <w:lang w:val="en-GB"/>
        </w:rPr>
        <w:t xml:space="preserve"> </w:t>
      </w:r>
      <w:proofErr w:type="spellStart"/>
      <w:r w:rsidRPr="00EE6125">
        <w:rPr>
          <w:i/>
          <w:color w:val="000000"/>
          <w:lang w:val="en-GB"/>
        </w:rPr>
        <w:t>Özkan</w:t>
      </w:r>
      <w:proofErr w:type="spellEnd"/>
      <w:r w:rsidRPr="00EE6125">
        <w:rPr>
          <w:i/>
          <w:color w:val="000000"/>
          <w:lang w:val="en-GB"/>
        </w:rPr>
        <w:t xml:space="preserve"> and Others v. Turkey</w:t>
      </w:r>
      <w:r w:rsidRPr="00EE6125">
        <w:rPr>
          <w:color w:val="000000"/>
          <w:lang w:val="en-GB"/>
        </w:rPr>
        <w:t>, cited above, at § 312; and</w:t>
      </w:r>
      <w:r w:rsidR="002E1AC9" w:rsidRPr="00EE6125">
        <w:rPr>
          <w:color w:val="000000"/>
          <w:lang w:val="en-GB"/>
        </w:rPr>
        <w:t xml:space="preserve"> </w:t>
      </w:r>
      <w:proofErr w:type="spellStart"/>
      <w:r w:rsidRPr="00EE6125">
        <w:rPr>
          <w:i/>
          <w:color w:val="000000"/>
          <w:lang w:val="en-GB"/>
        </w:rPr>
        <w:t>Isayeva</w:t>
      </w:r>
      <w:proofErr w:type="spellEnd"/>
      <w:r w:rsidRPr="00EE6125">
        <w:rPr>
          <w:i/>
          <w:color w:val="000000"/>
          <w:lang w:val="en-GB"/>
        </w:rPr>
        <w:t xml:space="preserve"> v. Russia</w:t>
      </w:r>
      <w:r w:rsidRPr="00EE6125">
        <w:rPr>
          <w:color w:val="000000"/>
          <w:lang w:val="en-GB"/>
        </w:rPr>
        <w:t xml:space="preserve">, </w:t>
      </w:r>
      <w:r w:rsidR="00A04837" w:rsidRPr="00EE6125">
        <w:rPr>
          <w:color w:val="000000"/>
          <w:lang w:val="en-GB"/>
        </w:rPr>
        <w:t>cited above,</w:t>
      </w:r>
      <w:r w:rsidRPr="00EE6125">
        <w:rPr>
          <w:color w:val="000000"/>
          <w:lang w:val="en-GB"/>
        </w:rPr>
        <w:t xml:space="preserve"> at § 212).</w:t>
      </w:r>
      <w:bookmarkEnd w:id="80"/>
    </w:p>
    <w:p w:rsidR="00DC0DDD" w:rsidRPr="00EE6125" w:rsidRDefault="00DC0DDD" w:rsidP="00BE6362">
      <w:pPr>
        <w:tabs>
          <w:tab w:val="num" w:pos="450"/>
        </w:tabs>
        <w:suppressAutoHyphens/>
        <w:autoSpaceDE w:val="0"/>
        <w:ind w:left="450" w:hanging="450"/>
        <w:jc w:val="both"/>
        <w:rPr>
          <w:color w:val="000000"/>
          <w:lang w:val="en-GB"/>
        </w:rPr>
      </w:pPr>
    </w:p>
    <w:p w:rsidR="00DC0DDD" w:rsidRPr="00EE6125" w:rsidRDefault="00DC0DDD" w:rsidP="003D4233">
      <w:pPr>
        <w:numPr>
          <w:ilvl w:val="0"/>
          <w:numId w:val="2"/>
        </w:numPr>
        <w:tabs>
          <w:tab w:val="num" w:pos="450"/>
        </w:tabs>
        <w:ind w:left="450" w:hanging="450"/>
        <w:jc w:val="both"/>
        <w:rPr>
          <w:color w:val="000000"/>
          <w:lang w:val="en-GB"/>
        </w:rPr>
      </w:pPr>
      <w:bookmarkStart w:id="81" w:name="_Ref401160939"/>
      <w:r w:rsidRPr="00EE6125">
        <w:rPr>
          <w:color w:val="000000"/>
          <w:lang w:val="en-GB"/>
        </w:rPr>
        <w:t xml:space="preserve">In particular, the investigation’s conclusion must be based on thorough, objective and impartial analysis of all relevant elements. Failing to follow an obvious line of enquiry </w:t>
      </w:r>
      <w:r w:rsidRPr="00EE6125">
        <w:rPr>
          <w:color w:val="000000"/>
        </w:rPr>
        <w:t>undermines</w:t>
      </w:r>
      <w:r w:rsidRPr="00EE6125">
        <w:rPr>
          <w:color w:val="000000"/>
          <w:lang w:val="en-GB"/>
        </w:rPr>
        <w:t xml:space="preserve"> to a decisive extent the investigation’s ability to establish the circumstances of the case and the identity of those responsible (see ECtHR, </w:t>
      </w:r>
      <w:proofErr w:type="spellStart"/>
      <w:r w:rsidRPr="00EE6125">
        <w:rPr>
          <w:i/>
          <w:color w:val="000000"/>
          <w:lang w:val="en-GB"/>
        </w:rPr>
        <w:t>Kolevi</w:t>
      </w:r>
      <w:proofErr w:type="spellEnd"/>
      <w:r w:rsidRPr="00EE6125">
        <w:rPr>
          <w:i/>
          <w:color w:val="000000"/>
          <w:lang w:val="en-GB"/>
        </w:rPr>
        <w:t xml:space="preserve"> v. Bulgaria</w:t>
      </w:r>
      <w:r w:rsidRPr="00EE6125">
        <w:rPr>
          <w:color w:val="000000"/>
          <w:lang w:val="en-GB"/>
        </w:rPr>
        <w:t xml:space="preserve">, cited in § </w:t>
      </w:r>
      <w:r w:rsidR="0037719A">
        <w:fldChar w:fldCharType="begin"/>
      </w:r>
      <w:r w:rsidR="0037719A">
        <w:instrText xml:space="preserve"> REF _Ref347561805 \r \h  \* MERGEFORMAT </w:instrText>
      </w:r>
      <w:r w:rsidR="0037719A">
        <w:fldChar w:fldCharType="separate"/>
      </w:r>
      <w:r w:rsidR="00A35759" w:rsidRPr="00A35759">
        <w:rPr>
          <w:color w:val="000000"/>
          <w:lang w:val="en-GB"/>
        </w:rPr>
        <w:t>156</w:t>
      </w:r>
      <w:r w:rsidR="0037719A">
        <w:fldChar w:fldCharType="end"/>
      </w:r>
      <w:r w:rsidR="00A04837" w:rsidRPr="00EE6125">
        <w:rPr>
          <w:color w:val="000000"/>
          <w:lang w:val="en-GB"/>
        </w:rPr>
        <w:t xml:space="preserve"> </w:t>
      </w:r>
      <w:r w:rsidRPr="00EE6125">
        <w:rPr>
          <w:color w:val="000000"/>
          <w:lang w:val="en-GB"/>
        </w:rPr>
        <w:t xml:space="preserve">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proofErr w:type="spellStart"/>
      <w:r w:rsidRPr="00EE6125">
        <w:rPr>
          <w:i/>
          <w:color w:val="000000"/>
          <w:lang w:val="en-GB"/>
        </w:rPr>
        <w:t>Velcea</w:t>
      </w:r>
      <w:proofErr w:type="spellEnd"/>
      <w:r w:rsidRPr="00EE6125">
        <w:rPr>
          <w:i/>
          <w:color w:val="000000"/>
          <w:lang w:val="en-GB"/>
        </w:rPr>
        <w:t xml:space="preserve"> and </w:t>
      </w:r>
      <w:proofErr w:type="spellStart"/>
      <w:r w:rsidRPr="00EE6125">
        <w:rPr>
          <w:i/>
          <w:color w:val="000000"/>
          <w:lang w:val="en-GB"/>
        </w:rPr>
        <w:t>Mazăre</w:t>
      </w:r>
      <w:proofErr w:type="spellEnd"/>
      <w:r w:rsidR="00A04837" w:rsidRPr="00EE6125">
        <w:rPr>
          <w:i/>
          <w:color w:val="000000"/>
          <w:lang w:val="en-GB"/>
        </w:rPr>
        <w:t xml:space="preserve"> </w:t>
      </w:r>
      <w:r w:rsidRPr="00EE6125">
        <w:rPr>
          <w:i/>
          <w:color w:val="000000"/>
          <w:lang w:val="en-GB"/>
        </w:rPr>
        <w:t>v. Romania</w:t>
      </w:r>
      <w:r w:rsidRPr="00EE6125">
        <w:rPr>
          <w:color w:val="000000"/>
          <w:lang w:val="en-GB"/>
        </w:rPr>
        <w:t>, no. 64301/01, judgm</w:t>
      </w:r>
      <w:r w:rsidR="00304E22" w:rsidRPr="00EE6125">
        <w:rPr>
          <w:color w:val="000000"/>
          <w:lang w:val="en-GB"/>
        </w:rPr>
        <w:t>ent of 1 December 2009, § 105).</w:t>
      </w:r>
      <w:r w:rsidR="001C7357" w:rsidRPr="00EE6125">
        <w:rPr>
          <w:color w:val="000000"/>
          <w:lang w:val="en-GB"/>
        </w:rPr>
        <w:t xml:space="preserve"> At the same time, </w:t>
      </w:r>
      <w:r w:rsidR="001C7357" w:rsidRPr="00EE6125">
        <w:rPr>
          <w:rStyle w:val="sb8d990e2"/>
          <w:color w:val="000000"/>
        </w:rPr>
        <w:t xml:space="preserve">the authorities must always make a serious attempt to find out what happened and should not rely on hasty or ill-founded conclusions to close their investigation (see </w:t>
      </w:r>
      <w:r w:rsidR="001C7357" w:rsidRPr="00EE6125">
        <w:rPr>
          <w:color w:val="000000"/>
          <w:lang w:val="en-GB"/>
        </w:rPr>
        <w:t xml:space="preserve">ECtHR [GC], </w:t>
      </w:r>
      <w:r w:rsidR="001C7357" w:rsidRPr="00EE6125">
        <w:rPr>
          <w:i/>
          <w:iCs/>
          <w:color w:val="000000"/>
          <w:lang w:val="en-GB"/>
        </w:rPr>
        <w:t>El-</w:t>
      </w:r>
      <w:proofErr w:type="spellStart"/>
      <w:r w:rsidR="001C7357" w:rsidRPr="00EE6125">
        <w:rPr>
          <w:i/>
          <w:iCs/>
          <w:color w:val="000000"/>
          <w:lang w:val="en-GB"/>
        </w:rPr>
        <w:t>Masri</w:t>
      </w:r>
      <w:proofErr w:type="spellEnd"/>
      <w:r w:rsidR="001C7357" w:rsidRPr="00EE6125">
        <w:rPr>
          <w:i/>
          <w:iCs/>
          <w:color w:val="000000"/>
          <w:lang w:val="en-GB"/>
        </w:rPr>
        <w:t xml:space="preserve"> v. “the Former Yugoslav Republic of Macedonia”</w:t>
      </w:r>
      <w:r w:rsidR="001C7357" w:rsidRPr="00EE6125">
        <w:rPr>
          <w:color w:val="000000"/>
          <w:lang w:val="en-GB"/>
        </w:rPr>
        <w:t>, no. 39630/09, judgment of 13 December 2012, § 183</w:t>
      </w:r>
      <w:r w:rsidR="001C7357" w:rsidRPr="00EE6125">
        <w:rPr>
          <w:rStyle w:val="sb8d990e2"/>
          <w:color w:val="000000"/>
        </w:rPr>
        <w:t xml:space="preserve">; </w:t>
      </w:r>
      <w:r w:rsidR="001C7357" w:rsidRPr="00EE6125">
        <w:rPr>
          <w:color w:val="000000"/>
          <w:lang w:val="en-GB"/>
        </w:rPr>
        <w:t xml:space="preserve">ECtHR [GC], </w:t>
      </w:r>
      <w:r w:rsidR="001C7357" w:rsidRPr="00EE6125">
        <w:rPr>
          <w:i/>
          <w:color w:val="000000"/>
          <w:lang w:val="en-GB"/>
        </w:rPr>
        <w:t>Mocanu and Others v. Romania</w:t>
      </w:r>
      <w:r w:rsidR="001C7357" w:rsidRPr="00EE6125">
        <w:rPr>
          <w:color w:val="000000"/>
          <w:lang w:val="en-GB"/>
        </w:rPr>
        <w:t xml:space="preserve">, cited in § </w:t>
      </w:r>
      <w:r w:rsidR="0037719A">
        <w:fldChar w:fldCharType="begin"/>
      </w:r>
      <w:r w:rsidR="0037719A">
        <w:instrText xml:space="preserve"> REF _Ref401160192 \r \h  \* MERGEFORMAT </w:instrText>
      </w:r>
      <w:r w:rsidR="0037719A">
        <w:fldChar w:fldCharType="separate"/>
      </w:r>
      <w:r w:rsidR="00A35759" w:rsidRPr="00A35759">
        <w:rPr>
          <w:color w:val="000000"/>
          <w:lang w:val="en-GB"/>
        </w:rPr>
        <w:t>157</w:t>
      </w:r>
      <w:r w:rsidR="0037719A">
        <w:fldChar w:fldCharType="end"/>
      </w:r>
      <w:r w:rsidR="001C7357" w:rsidRPr="00EE6125">
        <w:rPr>
          <w:color w:val="000000"/>
          <w:lang w:val="en-GB"/>
        </w:rPr>
        <w:t xml:space="preserve"> above, at § 322</w:t>
      </w:r>
      <w:r w:rsidR="001C7357" w:rsidRPr="00EE6125">
        <w:rPr>
          <w:rStyle w:val="sb8d990e2"/>
          <w:color w:val="000000"/>
        </w:rPr>
        <w:t>).</w:t>
      </w:r>
      <w:bookmarkEnd w:id="81"/>
    </w:p>
    <w:p w:rsidR="00304E22" w:rsidRPr="00EE6125" w:rsidRDefault="00304E22" w:rsidP="00304E22">
      <w:pPr>
        <w:pStyle w:val="ColorfulList-Accent11"/>
        <w:rPr>
          <w:color w:val="000000"/>
          <w:lang w:val="en-GB"/>
        </w:rPr>
      </w:pPr>
    </w:p>
    <w:p w:rsidR="00304E22" w:rsidRPr="00EE6125" w:rsidRDefault="00304E22" w:rsidP="003D4233">
      <w:pPr>
        <w:numPr>
          <w:ilvl w:val="0"/>
          <w:numId w:val="2"/>
        </w:numPr>
        <w:tabs>
          <w:tab w:val="num" w:pos="450"/>
        </w:tabs>
        <w:ind w:left="450" w:hanging="450"/>
        <w:jc w:val="both"/>
        <w:rPr>
          <w:color w:val="000000"/>
          <w:lang w:val="en-GB"/>
        </w:rPr>
      </w:pPr>
      <w:r w:rsidRPr="00EE6125">
        <w:rPr>
          <w:rStyle w:val="sb8d990e2"/>
          <w:color w:val="000000"/>
        </w:rPr>
        <w:t xml:space="preserve">A </w:t>
      </w:r>
      <w:r w:rsidRPr="00EE6125">
        <w:rPr>
          <w:color w:val="000000"/>
          <w:lang w:val="en-GB"/>
        </w:rPr>
        <w:t>requirement</w:t>
      </w:r>
      <w:r w:rsidRPr="00EE6125">
        <w:rPr>
          <w:rStyle w:val="sb8d990e2"/>
          <w:color w:val="000000"/>
        </w:rPr>
        <w:t xml:space="preserve"> of promptness and reasonable expedition is implicit in this context. Even where there may be obstacles or difficulties which prevent progress in an </w:t>
      </w:r>
      <w:bookmarkStart w:id="82" w:name="HIT98"/>
      <w:bookmarkEnd w:id="82"/>
      <w:r w:rsidRPr="00EE6125">
        <w:rPr>
          <w:rStyle w:val="sb8d990e2"/>
          <w:color w:val="000000"/>
        </w:rPr>
        <w:t xml:space="preserve">investigation in a particular situation, a </w:t>
      </w:r>
      <w:bookmarkStart w:id="83" w:name="HIT99"/>
      <w:bookmarkEnd w:id="83"/>
      <w:r w:rsidRPr="00EE6125">
        <w:rPr>
          <w:rStyle w:val="sb8d990e2"/>
          <w:color w:val="000000"/>
        </w:rPr>
        <w:t xml:space="preserve">prompt response by the authorities is vital in maintaining public confidence in their adherence to the rule of law and in preventing any appearance of collusion in or tolerance of unlawful acts (see ECtHR, </w:t>
      </w:r>
      <w:r w:rsidRPr="00EE6125">
        <w:rPr>
          <w:rStyle w:val="s6b621b36"/>
          <w:i/>
          <w:color w:val="000000"/>
        </w:rPr>
        <w:t xml:space="preserve">Paul and Audrey Edwards </w:t>
      </w:r>
      <w:r w:rsidRPr="00EE6125">
        <w:rPr>
          <w:i/>
          <w:color w:val="000000"/>
        </w:rPr>
        <w:t xml:space="preserve">v. the </w:t>
      </w:r>
      <w:r w:rsidRPr="00EE6125">
        <w:rPr>
          <w:i/>
          <w:color w:val="000000"/>
        </w:rPr>
        <w:lastRenderedPageBreak/>
        <w:t>United Kingdom</w:t>
      </w:r>
      <w:r w:rsidRPr="00EE6125">
        <w:rPr>
          <w:color w:val="000000"/>
        </w:rPr>
        <w:t>, no. 46477/99, judgment of 14 March 2002, § 72, ECHR 2002</w:t>
      </w:r>
      <w:r w:rsidRPr="00EE6125">
        <w:rPr>
          <w:color w:val="000000"/>
        </w:rPr>
        <w:noBreakHyphen/>
        <w:t>II</w:t>
      </w:r>
      <w:r w:rsidR="008C774B" w:rsidRPr="00EE6125">
        <w:rPr>
          <w:color w:val="000000"/>
        </w:rPr>
        <w:t xml:space="preserve">; </w:t>
      </w:r>
      <w:r w:rsidR="008C774B" w:rsidRPr="00EE6125">
        <w:rPr>
          <w:color w:val="000000"/>
          <w:lang w:val="en-GB"/>
        </w:rPr>
        <w:t xml:space="preserve">ECtHR [GC], </w:t>
      </w:r>
      <w:r w:rsidR="008C774B" w:rsidRPr="00EE6125">
        <w:rPr>
          <w:i/>
          <w:color w:val="000000"/>
          <w:lang w:val="en-GB"/>
        </w:rPr>
        <w:t>Mocanu and Others v. Romania</w:t>
      </w:r>
      <w:r w:rsidR="008C774B" w:rsidRPr="00EE6125">
        <w:rPr>
          <w:color w:val="000000"/>
          <w:lang w:val="en-GB"/>
        </w:rPr>
        <w:t xml:space="preserve">, cited in § </w:t>
      </w:r>
      <w:r w:rsidR="0037719A">
        <w:fldChar w:fldCharType="begin"/>
      </w:r>
      <w:r w:rsidR="0037719A">
        <w:instrText xml:space="preserve"> REF _Ref401160192 \r \h  \* MERGEFORMAT </w:instrText>
      </w:r>
      <w:r w:rsidR="0037719A">
        <w:fldChar w:fldCharType="separate"/>
      </w:r>
      <w:r w:rsidR="00A35759" w:rsidRPr="00A35759">
        <w:rPr>
          <w:color w:val="000000"/>
          <w:lang w:val="en-GB"/>
        </w:rPr>
        <w:t>157</w:t>
      </w:r>
      <w:r w:rsidR="0037719A">
        <w:fldChar w:fldCharType="end"/>
      </w:r>
      <w:r w:rsidR="008C774B" w:rsidRPr="00EE6125">
        <w:rPr>
          <w:color w:val="000000"/>
          <w:lang w:val="en-GB"/>
        </w:rPr>
        <w:t xml:space="preserve"> above, at § 323</w:t>
      </w:r>
      <w:r w:rsidRPr="00EE6125">
        <w:rPr>
          <w:color w:val="000000"/>
        </w:rPr>
        <w:t>).</w:t>
      </w:r>
    </w:p>
    <w:p w:rsidR="00DC0DDD" w:rsidRPr="00EE6125" w:rsidRDefault="00DC0DDD" w:rsidP="00BE6362">
      <w:pPr>
        <w:pStyle w:val="ColorfulList-Accent11"/>
        <w:tabs>
          <w:tab w:val="num" w:pos="450"/>
        </w:tabs>
        <w:ind w:left="450" w:hanging="450"/>
        <w:rPr>
          <w:color w:val="000000"/>
          <w:lang w:val="en-GB"/>
        </w:rPr>
      </w:pPr>
    </w:p>
    <w:p w:rsidR="00A844E5" w:rsidRPr="00EE6125" w:rsidRDefault="00DC0DDD" w:rsidP="003D4233">
      <w:pPr>
        <w:numPr>
          <w:ilvl w:val="0"/>
          <w:numId w:val="2"/>
        </w:numPr>
        <w:tabs>
          <w:tab w:val="num" w:pos="450"/>
        </w:tabs>
        <w:ind w:left="450" w:hanging="450"/>
        <w:jc w:val="both"/>
        <w:rPr>
          <w:color w:val="000000"/>
          <w:lang w:val="en-GB"/>
        </w:rPr>
      </w:pPr>
      <w:bookmarkStart w:id="84" w:name="_Ref342300077"/>
      <w:r w:rsidRPr="00EE6125">
        <w:rPr>
          <w:color w:val="000000"/>
          <w:lang w:val="en-GB"/>
        </w:rPr>
        <w:t xml:space="preserve">Specifically with regard to persons disappeared and later found dead, </w:t>
      </w:r>
      <w:r w:rsidR="001B245B" w:rsidRPr="00EE6125">
        <w:rPr>
          <w:color w:val="000000"/>
          <w:lang w:val="en-GB"/>
        </w:rPr>
        <w:t xml:space="preserve">which is not the situation in this case, </w:t>
      </w:r>
      <w:r w:rsidRPr="00EE6125">
        <w:rPr>
          <w:color w:val="000000"/>
          <w:lang w:val="en-GB"/>
        </w:rPr>
        <w:t xml:space="preserve">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EE6125">
        <w:rPr>
          <w:i/>
          <w:color w:val="000000"/>
          <w:lang w:val="en-GB"/>
        </w:rPr>
        <w:t>Palić v. Bosnia and Herzegovina</w:t>
      </w:r>
      <w:r w:rsidRPr="00EE6125">
        <w:rPr>
          <w:color w:val="000000"/>
          <w:lang w:val="en-GB"/>
        </w:rPr>
        <w:t xml:space="preserve">, cited in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00A565BA" w:rsidRPr="00EE6125">
        <w:rPr>
          <w:color w:val="000000"/>
          <w:lang w:val="en-GB"/>
        </w:rPr>
        <w:t xml:space="preserve"> </w:t>
      </w:r>
      <w:r w:rsidRPr="00EE6125">
        <w:rPr>
          <w:color w:val="000000"/>
          <w:lang w:val="en-GB"/>
        </w:rPr>
        <w:t xml:space="preserve">above, at § 46; in the same sense ECtHR [GC], </w:t>
      </w:r>
      <w:r w:rsidRPr="00EE6125">
        <w:rPr>
          <w:i/>
          <w:color w:val="000000"/>
          <w:lang w:val="en-GB"/>
        </w:rPr>
        <w:t>Varnava and Others v. Turkey</w:t>
      </w:r>
      <w:r w:rsidRPr="00EE6125">
        <w:rPr>
          <w:color w:val="000000"/>
          <w:lang w:val="en-GB"/>
        </w:rPr>
        <w:t xml:space="preserve">, cited in § </w:t>
      </w:r>
      <w:r w:rsidR="0026408E" w:rsidRPr="00EE6125">
        <w:rPr>
          <w:color w:val="000000"/>
          <w:lang w:val="en-GB"/>
        </w:rPr>
        <w:t>102</w:t>
      </w:r>
      <w:r w:rsidRPr="00EE6125">
        <w:rPr>
          <w:color w:val="000000"/>
          <w:lang w:val="en-GB"/>
        </w:rPr>
        <w:t xml:space="preserve"> above, at § 148, </w:t>
      </w:r>
      <w:r w:rsidRPr="00EE6125">
        <w:rPr>
          <w:i/>
          <w:color w:val="000000"/>
          <w:lang w:val="en-GB"/>
        </w:rPr>
        <w:t>Aslakhanova and Others v. Russia</w:t>
      </w:r>
      <w:r w:rsidRPr="00EE6125">
        <w:rPr>
          <w:color w:val="000000"/>
          <w:lang w:val="en-GB"/>
        </w:rPr>
        <w:t xml:space="preserve">, </w:t>
      </w:r>
      <w:r w:rsidR="000253E8" w:rsidRPr="00EE6125">
        <w:rPr>
          <w:color w:val="000000"/>
          <w:lang w:val="en-GB"/>
        </w:rPr>
        <w:t>nos</w:t>
      </w:r>
      <w:r w:rsidRPr="00EE6125">
        <w:rPr>
          <w:color w:val="000000"/>
          <w:lang w:val="en-GB"/>
        </w:rPr>
        <w:t xml:space="preserve"> 2944/06 and others, judgment of 18 December 2012, § 12</w:t>
      </w:r>
      <w:r w:rsidRPr="00EE6125">
        <w:rPr>
          <w:rFonts w:cs="CAGLHH+TimesNewRoman"/>
          <w:color w:val="000000"/>
          <w:lang w:val="en-GB"/>
        </w:rPr>
        <w:t>2</w:t>
      </w:r>
      <w:r w:rsidRPr="00EE6125">
        <w:rPr>
          <w:color w:val="000000"/>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EE6125">
        <w:rPr>
          <w:i/>
          <w:color w:val="000000"/>
          <w:lang w:val="en-GB"/>
        </w:rPr>
        <w:t>Palić v. Bosnia and Herzegovina</w:t>
      </w:r>
      <w:r w:rsidRPr="00EE6125">
        <w:rPr>
          <w:color w:val="000000"/>
          <w:lang w:val="en-GB"/>
        </w:rPr>
        <w:t xml:space="preserve">, cited above, at § 46; in the same sense ECtHR [GC], </w:t>
      </w:r>
      <w:r w:rsidRPr="00EE6125">
        <w:rPr>
          <w:i/>
          <w:color w:val="000000"/>
          <w:lang w:val="en-GB"/>
        </w:rPr>
        <w:t>Varnava and Others v. Turkey</w:t>
      </w:r>
      <w:r w:rsidRPr="00EE6125">
        <w:rPr>
          <w:color w:val="000000"/>
          <w:lang w:val="en-GB"/>
        </w:rPr>
        <w:t xml:space="preserve">, cited in § </w:t>
      </w:r>
      <w:r w:rsidR="0026408E" w:rsidRPr="00EE6125">
        <w:rPr>
          <w:color w:val="000000"/>
          <w:lang w:val="en-GB"/>
        </w:rPr>
        <w:t>102</w:t>
      </w:r>
      <w:r w:rsidRPr="00EE6125">
        <w:rPr>
          <w:color w:val="000000"/>
          <w:lang w:val="en-GB"/>
        </w:rPr>
        <w:t xml:space="preserve"> above, at § 145). While the location and the subsequent identification of the mortal remains of the victim may in themselves be significant achievements, the procedural obligation under Article 2 continues to exist (see ECtHR, </w:t>
      </w:r>
      <w:r w:rsidRPr="00EE6125">
        <w:rPr>
          <w:i/>
          <w:color w:val="000000"/>
          <w:lang w:val="en-GB"/>
        </w:rPr>
        <w:t>Palić v. Bosnia and Herzegovina</w:t>
      </w:r>
      <w:r w:rsidRPr="00EE6125">
        <w:rPr>
          <w:color w:val="000000"/>
          <w:lang w:val="en-GB"/>
        </w:rPr>
        <w:t xml:space="preserve">, cited </w:t>
      </w:r>
      <w:r w:rsidR="00A04837" w:rsidRPr="00EE6125">
        <w:rPr>
          <w:color w:val="000000"/>
          <w:lang w:val="en-GB"/>
        </w:rPr>
        <w:t xml:space="preserve">in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00A04837" w:rsidRPr="00EE6125">
        <w:rPr>
          <w:color w:val="000000"/>
          <w:lang w:val="en-GB"/>
        </w:rPr>
        <w:t xml:space="preserve"> </w:t>
      </w:r>
      <w:r w:rsidRPr="00EE6125">
        <w:rPr>
          <w:color w:val="000000"/>
          <w:lang w:val="en-GB"/>
        </w:rPr>
        <w:t>above, at § 64).</w:t>
      </w:r>
      <w:bookmarkStart w:id="85" w:name="_Ref347937166"/>
      <w:bookmarkEnd w:id="84"/>
    </w:p>
    <w:p w:rsidR="00A844E5" w:rsidRPr="00EE6125" w:rsidRDefault="00A844E5" w:rsidP="00BE6362">
      <w:pPr>
        <w:tabs>
          <w:tab w:val="num" w:pos="450"/>
        </w:tabs>
        <w:suppressAutoHyphens/>
        <w:autoSpaceDE w:val="0"/>
        <w:ind w:left="450" w:hanging="450"/>
        <w:jc w:val="both"/>
        <w:rPr>
          <w:color w:val="000000"/>
          <w:lang w:val="en-GB"/>
        </w:rPr>
      </w:pPr>
    </w:p>
    <w:p w:rsidR="00DC0DDD" w:rsidRPr="00EE6125" w:rsidRDefault="00DC0DDD" w:rsidP="003D4233">
      <w:pPr>
        <w:numPr>
          <w:ilvl w:val="0"/>
          <w:numId w:val="2"/>
        </w:numPr>
        <w:tabs>
          <w:tab w:val="num" w:pos="450"/>
        </w:tabs>
        <w:ind w:left="450" w:hanging="450"/>
        <w:jc w:val="both"/>
        <w:rPr>
          <w:color w:val="000000"/>
          <w:lang w:val="en-GB"/>
        </w:rPr>
      </w:pPr>
      <w:bookmarkStart w:id="86" w:name="_Ref398312896"/>
      <w:r w:rsidRPr="00EE6125">
        <w:rPr>
          <w:color w:val="000000"/>
          <w:lang w:val="en-GB" w:eastAsia="ar-SA"/>
        </w:rPr>
        <w:t xml:space="preserve">On the requirement of public scrutiny, the Court has further stated that there must be a sufficient element of public scrutiny of the investigation or its results to secure </w:t>
      </w:r>
      <w:r w:rsidRPr="00EE6125">
        <w:rPr>
          <w:color w:val="000000"/>
          <w:lang w:val="en-GB"/>
        </w:rPr>
        <w:t>accountability</w:t>
      </w:r>
      <w:r w:rsidRPr="00EE6125">
        <w:rPr>
          <w:color w:val="000000"/>
          <w:lang w:val="en-GB" w:eastAsia="ar-SA"/>
        </w:rPr>
        <w:t xml:space="preserve"> in practice as well as in theory. The degree of public scrutiny required may well vary from case to case. In all cases, however, the victim's next-of-kin must be involved in the procedure to the extent necessary to safeguard his or her legitimate interests (see ECtHR, </w:t>
      </w:r>
      <w:proofErr w:type="spellStart"/>
      <w:r w:rsidRPr="00EE6125">
        <w:rPr>
          <w:i/>
          <w:color w:val="000000"/>
          <w:lang w:val="en-GB" w:eastAsia="ar-SA"/>
        </w:rPr>
        <w:t>Ahmet</w:t>
      </w:r>
      <w:proofErr w:type="spellEnd"/>
      <w:r w:rsidR="00BB3617" w:rsidRPr="00EE6125">
        <w:rPr>
          <w:i/>
          <w:color w:val="000000"/>
          <w:lang w:val="en-GB" w:eastAsia="ar-SA"/>
        </w:rPr>
        <w:t xml:space="preserve"> </w:t>
      </w:r>
      <w:proofErr w:type="spellStart"/>
      <w:r w:rsidRPr="00EE6125">
        <w:rPr>
          <w:i/>
          <w:color w:val="000000"/>
          <w:lang w:val="en-GB" w:eastAsia="ar-SA"/>
        </w:rPr>
        <w:t>Özkan</w:t>
      </w:r>
      <w:proofErr w:type="spellEnd"/>
      <w:r w:rsidRPr="00EE6125">
        <w:rPr>
          <w:i/>
          <w:color w:val="000000"/>
          <w:lang w:val="en-GB" w:eastAsia="ar-SA"/>
        </w:rPr>
        <w:t xml:space="preserve"> and Others</w:t>
      </w:r>
      <w:r w:rsidRPr="00EE6125">
        <w:rPr>
          <w:color w:val="000000"/>
          <w:lang w:val="en-GB" w:eastAsia="ar-SA"/>
        </w:rPr>
        <w:t xml:space="preserve">, cited in § </w:t>
      </w:r>
      <w:r w:rsidR="0037719A">
        <w:fldChar w:fldCharType="begin"/>
      </w:r>
      <w:r w:rsidR="0037719A">
        <w:instrText xml:space="preserve"> REF _Ref346723791 \r \h  \* MERGEFORMAT </w:instrText>
      </w:r>
      <w:r w:rsidR="0037719A">
        <w:fldChar w:fldCharType="separate"/>
      </w:r>
      <w:r w:rsidR="00A35759" w:rsidRPr="00A35759">
        <w:rPr>
          <w:color w:val="000000"/>
          <w:lang w:val="en-GB" w:eastAsia="ar-SA"/>
        </w:rPr>
        <w:t>158</w:t>
      </w:r>
      <w:r w:rsidR="0037719A">
        <w:fldChar w:fldCharType="end"/>
      </w:r>
      <w:r w:rsidR="00A04837" w:rsidRPr="00EE6125">
        <w:rPr>
          <w:color w:val="000000"/>
          <w:lang w:val="en-GB" w:eastAsia="ar-SA"/>
        </w:rPr>
        <w:t xml:space="preserve"> </w:t>
      </w:r>
      <w:r w:rsidRPr="00EE6125">
        <w:rPr>
          <w:color w:val="000000"/>
          <w:lang w:val="en-GB" w:eastAsia="ar-SA"/>
        </w:rPr>
        <w:t>above, at §§ 311</w:t>
      </w:r>
      <w:r w:rsidRPr="00EE6125">
        <w:rPr>
          <w:color w:val="000000"/>
          <w:lang w:val="en-GB" w:eastAsia="ar-SA"/>
        </w:rPr>
        <w:noBreakHyphen/>
        <w:t xml:space="preserve">314; ECtHR, </w:t>
      </w:r>
      <w:proofErr w:type="spellStart"/>
      <w:r w:rsidRPr="00EE6125">
        <w:rPr>
          <w:i/>
          <w:color w:val="000000"/>
          <w:lang w:val="en-GB" w:eastAsia="ar-SA"/>
        </w:rPr>
        <w:t>Isayeva</w:t>
      </w:r>
      <w:proofErr w:type="spellEnd"/>
      <w:r w:rsidRPr="00EE6125">
        <w:rPr>
          <w:i/>
          <w:color w:val="000000"/>
          <w:lang w:val="en-GB" w:eastAsia="ar-SA"/>
        </w:rPr>
        <w:t xml:space="preserve"> v. Russia</w:t>
      </w:r>
      <w:r w:rsidRPr="00EE6125">
        <w:rPr>
          <w:color w:val="000000"/>
          <w:lang w:val="en-GB" w:eastAsia="ar-SA"/>
        </w:rPr>
        <w:t xml:space="preserve">, cited in § </w:t>
      </w:r>
      <w:r w:rsidR="0037719A">
        <w:fldChar w:fldCharType="begin"/>
      </w:r>
      <w:r w:rsidR="0037719A">
        <w:instrText xml:space="preserve"> REF _Ref346723791 \r \h  \* MERGEFORMAT </w:instrText>
      </w:r>
      <w:r w:rsidR="0037719A">
        <w:fldChar w:fldCharType="separate"/>
      </w:r>
      <w:r w:rsidR="00A35759" w:rsidRPr="00A35759">
        <w:rPr>
          <w:color w:val="000000"/>
          <w:lang w:val="en-GB" w:eastAsia="ar-SA"/>
        </w:rPr>
        <w:t>158</w:t>
      </w:r>
      <w:r w:rsidR="0037719A">
        <w:fldChar w:fldCharType="end"/>
      </w:r>
      <w:r w:rsidR="00A04837" w:rsidRPr="00EE6125">
        <w:rPr>
          <w:color w:val="000000"/>
          <w:lang w:val="en-GB" w:eastAsia="ar-SA"/>
        </w:rPr>
        <w:t xml:space="preserve"> </w:t>
      </w:r>
      <w:r w:rsidRPr="00EE6125">
        <w:rPr>
          <w:color w:val="000000"/>
          <w:lang w:val="en-GB" w:eastAsia="ar-SA"/>
        </w:rPr>
        <w:t xml:space="preserve">above, at §§ 211-214 and the cases cited therein; ECtHR [GC], </w:t>
      </w:r>
      <w:r w:rsidRPr="00EE6125">
        <w:rPr>
          <w:i/>
          <w:color w:val="000000"/>
          <w:lang w:val="en-GB" w:eastAsia="ar-SA"/>
        </w:rPr>
        <w:t>Al-</w:t>
      </w:r>
      <w:proofErr w:type="spellStart"/>
      <w:r w:rsidRPr="00EE6125">
        <w:rPr>
          <w:i/>
          <w:color w:val="000000"/>
          <w:lang w:val="en-GB" w:eastAsia="ar-SA"/>
        </w:rPr>
        <w:t>Skeini</w:t>
      </w:r>
      <w:proofErr w:type="spellEnd"/>
      <w:r w:rsidRPr="00EE6125">
        <w:rPr>
          <w:i/>
          <w:color w:val="000000"/>
          <w:lang w:val="en-GB" w:eastAsia="ar-SA"/>
        </w:rPr>
        <w:t xml:space="preserve"> and Others v. the United Kingdom</w:t>
      </w:r>
      <w:r w:rsidRPr="00EE6125">
        <w:rPr>
          <w:color w:val="000000"/>
          <w:lang w:val="en-GB" w:eastAsia="ar-SA"/>
        </w:rPr>
        <w:t>, judgment of 7 July 2011, no. 55721/07, § 167, ECHR 2011</w:t>
      </w:r>
      <w:r w:rsidR="008C774B" w:rsidRPr="00EE6125">
        <w:rPr>
          <w:color w:val="000000"/>
          <w:lang w:val="en-GB" w:eastAsia="ar-SA"/>
        </w:rPr>
        <w:t xml:space="preserve">; </w:t>
      </w:r>
      <w:r w:rsidR="008C774B" w:rsidRPr="00EE6125">
        <w:rPr>
          <w:color w:val="000000"/>
          <w:lang w:val="en-GB"/>
        </w:rPr>
        <w:t xml:space="preserve">ECtHR [GC], </w:t>
      </w:r>
      <w:r w:rsidR="008C774B" w:rsidRPr="00EE6125">
        <w:rPr>
          <w:i/>
          <w:color w:val="000000"/>
          <w:lang w:val="en-GB"/>
        </w:rPr>
        <w:t>Mocanu and Others v. Romania</w:t>
      </w:r>
      <w:r w:rsidR="008C774B" w:rsidRPr="00EE6125">
        <w:rPr>
          <w:color w:val="000000"/>
          <w:lang w:val="en-GB"/>
        </w:rPr>
        <w:t xml:space="preserve">, cited in § </w:t>
      </w:r>
      <w:r w:rsidR="0037719A">
        <w:fldChar w:fldCharType="begin"/>
      </w:r>
      <w:r w:rsidR="0037719A">
        <w:instrText xml:space="preserve"> REF _Ref401160192 \r \h  \* MERGEFORMAT </w:instrText>
      </w:r>
      <w:r w:rsidR="0037719A">
        <w:fldChar w:fldCharType="separate"/>
      </w:r>
      <w:r w:rsidR="00A35759" w:rsidRPr="00A35759">
        <w:rPr>
          <w:color w:val="000000"/>
          <w:lang w:val="en-GB"/>
        </w:rPr>
        <w:t>157</w:t>
      </w:r>
      <w:r w:rsidR="0037719A">
        <w:fldChar w:fldCharType="end"/>
      </w:r>
      <w:r w:rsidR="008C774B" w:rsidRPr="00EE6125">
        <w:rPr>
          <w:color w:val="000000"/>
          <w:lang w:val="en-GB"/>
        </w:rPr>
        <w:t xml:space="preserve"> above, at § 324</w:t>
      </w:r>
      <w:r w:rsidRPr="00EE6125">
        <w:rPr>
          <w:color w:val="000000"/>
          <w:lang w:val="en-GB" w:eastAsia="ar-SA"/>
        </w:rPr>
        <w:t>).</w:t>
      </w:r>
      <w:bookmarkEnd w:id="85"/>
      <w:bookmarkEnd w:id="86"/>
    </w:p>
    <w:p w:rsidR="00500351" w:rsidRPr="000D0C3A" w:rsidRDefault="00500351" w:rsidP="00500351">
      <w:pPr>
        <w:pStyle w:val="ColorfulList-Accent11"/>
      </w:pPr>
    </w:p>
    <w:p w:rsidR="00304E22" w:rsidRPr="000D0C3A" w:rsidRDefault="00304E22" w:rsidP="003D4233">
      <w:pPr>
        <w:numPr>
          <w:ilvl w:val="0"/>
          <w:numId w:val="2"/>
        </w:numPr>
        <w:tabs>
          <w:tab w:val="num" w:pos="450"/>
        </w:tabs>
        <w:ind w:left="450" w:hanging="450"/>
        <w:jc w:val="both"/>
        <w:rPr>
          <w:lang w:val="en-GB"/>
        </w:rPr>
      </w:pPr>
      <w:r w:rsidRPr="00EE6125">
        <w:rPr>
          <w:color w:val="000000"/>
          <w:lang w:val="en-GB"/>
        </w:rPr>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Pr="00EE6125">
        <w:rPr>
          <w:i/>
          <w:iCs/>
          <w:color w:val="000000"/>
          <w:lang w:val="en-GB"/>
        </w:rPr>
        <w:t>El-</w:t>
      </w:r>
      <w:proofErr w:type="spellStart"/>
      <w:r w:rsidRPr="00EE6125">
        <w:rPr>
          <w:i/>
          <w:iCs/>
          <w:color w:val="000000"/>
          <w:lang w:val="en-GB"/>
        </w:rPr>
        <w:t>Masri</w:t>
      </w:r>
      <w:proofErr w:type="spellEnd"/>
      <w:r w:rsidR="001C7357" w:rsidRPr="00EE6125">
        <w:rPr>
          <w:i/>
          <w:iCs/>
          <w:color w:val="000000"/>
          <w:lang w:val="en-GB"/>
        </w:rPr>
        <w:t>,</w:t>
      </w:r>
      <w:r w:rsidR="001C7357" w:rsidRPr="00EE6125">
        <w:rPr>
          <w:iCs/>
          <w:color w:val="000000"/>
          <w:lang w:val="en-GB"/>
        </w:rPr>
        <w:t xml:space="preserve"> cited in § </w:t>
      </w:r>
      <w:r w:rsidR="0037719A">
        <w:fldChar w:fldCharType="begin"/>
      </w:r>
      <w:r w:rsidR="0037719A">
        <w:instrText xml:space="preserve"> REF _Ref401160939 \r \h  \* MERGEFORMAT </w:instrText>
      </w:r>
      <w:r w:rsidR="0037719A">
        <w:fldChar w:fldCharType="separate"/>
      </w:r>
      <w:r w:rsidR="00A35759" w:rsidRPr="00A35759">
        <w:rPr>
          <w:iCs/>
          <w:color w:val="000000"/>
          <w:lang w:val="en-GB"/>
        </w:rPr>
        <w:t>160</w:t>
      </w:r>
      <w:r w:rsidR="0037719A">
        <w:fldChar w:fldCharType="end"/>
      </w:r>
      <w:r w:rsidR="001C7357" w:rsidRPr="00EE6125">
        <w:rPr>
          <w:iCs/>
          <w:color w:val="000000"/>
          <w:lang w:val="en-GB"/>
        </w:rPr>
        <w:t xml:space="preserve"> above, at</w:t>
      </w:r>
      <w:r w:rsidRPr="00EE6125">
        <w:rPr>
          <w:color w:val="000000"/>
          <w:lang w:val="en-GB"/>
        </w:rPr>
        <w:t xml:space="preserve"> § 191; ECtHR, </w:t>
      </w:r>
      <w:r w:rsidRPr="00EE6125">
        <w:rPr>
          <w:i/>
          <w:iCs/>
          <w:color w:val="000000"/>
          <w:lang w:val="en-GB"/>
        </w:rPr>
        <w:t xml:space="preserve">Al </w:t>
      </w:r>
      <w:proofErr w:type="spellStart"/>
      <w:r w:rsidRPr="00EE6125">
        <w:rPr>
          <w:i/>
          <w:iCs/>
          <w:color w:val="000000"/>
          <w:lang w:val="en-GB"/>
        </w:rPr>
        <w:t>Nashiri</w:t>
      </w:r>
      <w:proofErr w:type="spellEnd"/>
      <w:r w:rsidRPr="00EE6125">
        <w:rPr>
          <w:i/>
          <w:iCs/>
          <w:color w:val="000000"/>
          <w:lang w:val="en-GB"/>
        </w:rPr>
        <w:t xml:space="preserve"> v. Poland</w:t>
      </w:r>
      <w:r w:rsidRPr="00EE6125">
        <w:rPr>
          <w:color w:val="000000"/>
          <w:lang w:val="en-GB"/>
        </w:rPr>
        <w:t xml:space="preserve">, no. 28761/11, judgment of 24 July 2014, §§ 495-496). </w:t>
      </w:r>
      <w:r w:rsidRPr="00EE6125">
        <w:rPr>
          <w:color w:val="000000"/>
        </w:rPr>
        <w:t xml:space="preserve">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5;see also HRC,  </w:t>
      </w:r>
      <w:proofErr w:type="spellStart"/>
      <w:r w:rsidRPr="00EE6125">
        <w:rPr>
          <w:i/>
          <w:iCs/>
          <w:color w:val="000000"/>
        </w:rPr>
        <w:t>Schedko</w:t>
      </w:r>
      <w:proofErr w:type="spellEnd"/>
      <w:r w:rsidRPr="00EE6125">
        <w:rPr>
          <w:i/>
          <w:iCs/>
          <w:color w:val="000000"/>
        </w:rPr>
        <w:t xml:space="preserve"> and </w:t>
      </w:r>
      <w:proofErr w:type="spellStart"/>
      <w:r w:rsidRPr="00EE6125">
        <w:rPr>
          <w:i/>
          <w:iCs/>
          <w:color w:val="000000"/>
        </w:rPr>
        <w:t>Bondarenko</w:t>
      </w:r>
      <w:proofErr w:type="spellEnd"/>
      <w:r w:rsidRPr="00EE6125">
        <w:rPr>
          <w:i/>
          <w:iCs/>
          <w:color w:val="000000"/>
        </w:rPr>
        <w:t xml:space="preserve"> v. Belarus</w:t>
      </w:r>
      <w:r w:rsidRPr="00EE6125">
        <w:rPr>
          <w:color w:val="000000"/>
        </w:rPr>
        <w:t xml:space="preserve">, Communication no. 886/1999, views of 3 April 2003, § 10.2, CCPR/C/77/D/886/1999; HRC, </w:t>
      </w:r>
      <w:r w:rsidRPr="00EE6125">
        <w:rPr>
          <w:i/>
          <w:iCs/>
          <w:color w:val="000000"/>
        </w:rPr>
        <w:t xml:space="preserve">Mariam, Philippe, </w:t>
      </w:r>
      <w:proofErr w:type="spellStart"/>
      <w:r w:rsidRPr="00EE6125">
        <w:rPr>
          <w:i/>
          <w:iCs/>
          <w:color w:val="000000"/>
        </w:rPr>
        <w:t>Auguste</w:t>
      </w:r>
      <w:proofErr w:type="spellEnd"/>
      <w:r w:rsidRPr="00EE6125">
        <w:rPr>
          <w:i/>
          <w:iCs/>
          <w:color w:val="000000"/>
        </w:rPr>
        <w:t xml:space="preserve"> and Thomas </w:t>
      </w:r>
      <w:proofErr w:type="spellStart"/>
      <w:r w:rsidRPr="00EE6125">
        <w:rPr>
          <w:i/>
          <w:iCs/>
          <w:color w:val="000000"/>
        </w:rPr>
        <w:t>Sankara</w:t>
      </w:r>
      <w:proofErr w:type="spellEnd"/>
      <w:r w:rsidRPr="00EE6125">
        <w:rPr>
          <w:i/>
          <w:iCs/>
          <w:color w:val="000000"/>
        </w:rPr>
        <w:t xml:space="preserve"> v. Burkina Faso</w:t>
      </w:r>
      <w:r w:rsidRPr="00EE6125">
        <w:rPr>
          <w:color w:val="000000"/>
        </w:rPr>
        <w:t>, Communication no. 1159/2003, views of 8 March 2006</w:t>
      </w:r>
      <w:r w:rsidRPr="00EE6125">
        <w:rPr>
          <w:color w:val="000000"/>
          <w:sz w:val="27"/>
          <w:szCs w:val="27"/>
          <w:shd w:val="clear" w:color="auto" w:fill="FFFFFF"/>
        </w:rPr>
        <w:t xml:space="preserve">, </w:t>
      </w:r>
      <w:r w:rsidRPr="00EE6125">
        <w:rPr>
          <w:color w:val="000000"/>
        </w:rPr>
        <w:t xml:space="preserve">§ 10.2, CCPR/C/86/D/1159/2003; UN Human Rights Council, Resolutions 9/11 and 12/12: Right to </w:t>
      </w:r>
      <w:r w:rsidRPr="00EE6125">
        <w:rPr>
          <w:color w:val="000000"/>
        </w:rPr>
        <w:lastRenderedPageBreak/>
        <w:t xml:space="preserve">the </w:t>
      </w:r>
      <w:r w:rsidRPr="00EE6125">
        <w:rPr>
          <w:color w:val="000000"/>
          <w:lang w:val="en-GB"/>
        </w:rPr>
        <w:t>Truth</w:t>
      </w:r>
      <w:r w:rsidRPr="00EE6125">
        <w:rPr>
          <w:color w:val="000000"/>
        </w:rPr>
        <w:t>,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w:t>
      </w:r>
      <w:r w:rsidRPr="000D0C3A">
        <w:t xml:space="preserve"> countering terrorism, Mr Ben </w:t>
      </w:r>
      <w:proofErr w:type="spellStart"/>
      <w:r w:rsidRPr="000D0C3A">
        <w:t>Emmerson</w:t>
      </w:r>
      <w:proofErr w:type="spellEnd"/>
      <w:r w:rsidRPr="000D0C3A">
        <w:t xml:space="preserve">, </w:t>
      </w:r>
      <w:r w:rsidRPr="000D0C3A">
        <w:rPr>
          <w:iCs/>
        </w:rPr>
        <w:t>Framework Principles for securing the accountability of public officials for gross and systematic human rights violations committed in the context of State counter-terrorist initiatives</w:t>
      </w:r>
      <w:r w:rsidRPr="000D0C3A">
        <w:t>, UN Document A/HRC/22/52, 1 March 2013, § 23-26).</w:t>
      </w:r>
    </w:p>
    <w:p w:rsidR="00D26836" w:rsidRPr="000D0C3A" w:rsidRDefault="00D26836" w:rsidP="00BE6362">
      <w:pPr>
        <w:tabs>
          <w:tab w:val="num" w:pos="450"/>
        </w:tabs>
        <w:suppressAutoHyphens/>
        <w:autoSpaceDE w:val="0"/>
        <w:ind w:left="450" w:hanging="450"/>
        <w:contextualSpacing/>
        <w:jc w:val="both"/>
        <w:rPr>
          <w:color w:val="FF0000"/>
          <w:lang w:val="en-GB"/>
        </w:rPr>
      </w:pPr>
    </w:p>
    <w:p w:rsidR="001A6816" w:rsidRPr="000D0C3A" w:rsidRDefault="001A6816" w:rsidP="00F0555D">
      <w:pPr>
        <w:pStyle w:val="ColorfulList-Accent11"/>
        <w:numPr>
          <w:ilvl w:val="0"/>
          <w:numId w:val="5"/>
        </w:numPr>
        <w:tabs>
          <w:tab w:val="num" w:pos="270"/>
        </w:tabs>
        <w:suppressAutoHyphens w:val="0"/>
        <w:ind w:left="270" w:hanging="270"/>
        <w:contextualSpacing/>
        <w:jc w:val="both"/>
        <w:rPr>
          <w:i/>
          <w:lang w:val="en-GB" w:eastAsia="en-US"/>
        </w:rPr>
      </w:pPr>
      <w:r w:rsidRPr="000D0C3A">
        <w:rPr>
          <w:i/>
          <w:lang w:val="en-GB" w:eastAsia="en-US"/>
        </w:rPr>
        <w:t>Applicability of Article 2 to the Kosovo context</w:t>
      </w:r>
    </w:p>
    <w:p w:rsidR="001A6816" w:rsidRPr="000D0C3A" w:rsidRDefault="001A6816" w:rsidP="00BE6362">
      <w:pPr>
        <w:pStyle w:val="ColorfulList-Accent11"/>
        <w:tabs>
          <w:tab w:val="num" w:pos="450"/>
        </w:tabs>
        <w:ind w:left="450" w:hanging="450"/>
        <w:rPr>
          <w:lang w:val="en-GB" w:eastAsia="en-US"/>
        </w:rPr>
      </w:pPr>
    </w:p>
    <w:p w:rsidR="00236471" w:rsidRPr="000D0C3A" w:rsidRDefault="001A6816" w:rsidP="003D4233">
      <w:pPr>
        <w:numPr>
          <w:ilvl w:val="0"/>
          <w:numId w:val="2"/>
        </w:numPr>
        <w:tabs>
          <w:tab w:val="num" w:pos="450"/>
        </w:tabs>
        <w:ind w:left="450" w:hanging="450"/>
        <w:jc w:val="both"/>
      </w:pPr>
      <w:bookmarkStart w:id="87" w:name="_Ref404677680"/>
      <w:r w:rsidRPr="000D0C3A">
        <w:rPr>
          <w:lang w:val="en-GB"/>
        </w:rPr>
        <w:t xml:space="preserve">The Panel is conscious </w:t>
      </w:r>
      <w:r w:rsidR="00474B47" w:rsidRPr="000D0C3A">
        <w:rPr>
          <w:lang w:val="en-GB"/>
        </w:rPr>
        <w:t>of the fact that</w:t>
      </w:r>
      <w:r w:rsidR="00BB3617" w:rsidRPr="000D0C3A">
        <w:rPr>
          <w:lang w:val="en-GB"/>
        </w:rPr>
        <w:t xml:space="preserve"> </w:t>
      </w:r>
      <w:r w:rsidR="008025F1" w:rsidRPr="000D0C3A">
        <w:t>the</w:t>
      </w:r>
      <w:r w:rsidR="00643F50" w:rsidRPr="000D0C3A">
        <w:t xml:space="preserve"> </w:t>
      </w:r>
      <w:r w:rsidR="00822CDA" w:rsidRPr="000D0C3A">
        <w:rPr>
          <w:lang w:val="en-GB"/>
        </w:rPr>
        <w:t xml:space="preserve">abduction and </w:t>
      </w:r>
      <w:r w:rsidR="00822CDA" w:rsidRPr="000D0C3A">
        <w:rPr>
          <w:bCs/>
          <w:lang w:val="en-GB"/>
        </w:rPr>
        <w:t xml:space="preserve">disappearance of </w:t>
      </w:r>
      <w:r w:rsidR="005343DC" w:rsidRPr="00962637">
        <w:t xml:space="preserve">Mrs </w:t>
      </w:r>
      <w:proofErr w:type="spellStart"/>
      <w:r w:rsidR="005343DC" w:rsidRPr="00962637">
        <w:t>Dar</w:t>
      </w:r>
      <w:r w:rsidR="005343DC">
        <w:t>inka</w:t>
      </w:r>
      <w:proofErr w:type="spellEnd"/>
      <w:r w:rsidR="005343DC" w:rsidRPr="00962637">
        <w:t xml:space="preserve"> </w:t>
      </w:r>
      <w:proofErr w:type="spellStart"/>
      <w:r w:rsidR="005343DC" w:rsidRPr="00962637">
        <w:t>Šutaković</w:t>
      </w:r>
      <w:proofErr w:type="spellEnd"/>
      <w:r w:rsidR="005343DC">
        <w:t xml:space="preserve">, </w:t>
      </w:r>
      <w:r w:rsidR="005343DC" w:rsidRPr="00962637">
        <w:t xml:space="preserve">Mr </w:t>
      </w:r>
      <w:proofErr w:type="spellStart"/>
      <w:r w:rsidR="005343DC" w:rsidRPr="00962637">
        <w:t>Nedeljko</w:t>
      </w:r>
      <w:proofErr w:type="spellEnd"/>
      <w:r w:rsidR="005343DC" w:rsidRPr="00962637">
        <w:t xml:space="preserve"> </w:t>
      </w:r>
      <w:proofErr w:type="spellStart"/>
      <w:r w:rsidR="005343DC" w:rsidRPr="00962637">
        <w:t>Šutaković</w:t>
      </w:r>
      <w:proofErr w:type="spellEnd"/>
      <w:r w:rsidR="005343DC" w:rsidRPr="00962637">
        <w:t xml:space="preserve">, </w:t>
      </w:r>
      <w:r w:rsidR="005343DC">
        <w:t xml:space="preserve">Mr </w:t>
      </w:r>
      <w:r w:rsidR="005343DC" w:rsidRPr="00962637">
        <w:t xml:space="preserve">Radovan </w:t>
      </w:r>
      <w:proofErr w:type="spellStart"/>
      <w:r w:rsidR="005343DC" w:rsidRPr="00962637">
        <w:t>Šutaković</w:t>
      </w:r>
      <w:proofErr w:type="spellEnd"/>
      <w:r w:rsidR="005343DC">
        <w:t>,</w:t>
      </w:r>
      <w:r w:rsidR="005343DC" w:rsidRPr="00A70075">
        <w:t xml:space="preserve"> </w:t>
      </w:r>
      <w:r w:rsidR="005343DC">
        <w:t xml:space="preserve">Mr </w:t>
      </w:r>
      <w:proofErr w:type="spellStart"/>
      <w:r w:rsidR="005343DC" w:rsidRPr="00962637">
        <w:t>Ðorđe</w:t>
      </w:r>
      <w:proofErr w:type="spellEnd"/>
      <w:r w:rsidR="005343DC" w:rsidRPr="00962637">
        <w:t xml:space="preserve"> </w:t>
      </w:r>
      <w:proofErr w:type="spellStart"/>
      <w:r w:rsidR="005343DC" w:rsidRPr="00962637">
        <w:t>Šutaković</w:t>
      </w:r>
      <w:proofErr w:type="spellEnd"/>
      <w:r w:rsidR="005343DC">
        <w:t xml:space="preserve">, Mr </w:t>
      </w:r>
      <w:proofErr w:type="spellStart"/>
      <w:r w:rsidR="005343DC">
        <w:t>Aleksandar</w:t>
      </w:r>
      <w:proofErr w:type="spellEnd"/>
      <w:r w:rsidR="005343DC">
        <w:t xml:space="preserve"> </w:t>
      </w:r>
      <w:proofErr w:type="spellStart"/>
      <w:r w:rsidR="005343DC" w:rsidRPr="00F35DD1">
        <w:t>Šutaković</w:t>
      </w:r>
      <w:proofErr w:type="spellEnd"/>
      <w:r w:rsidR="005343DC" w:rsidRPr="00F35DD1">
        <w:t xml:space="preserve">, </w:t>
      </w:r>
      <w:r w:rsidR="005343DC">
        <w:t xml:space="preserve">Mr </w:t>
      </w:r>
      <w:proofErr w:type="spellStart"/>
      <w:r w:rsidR="005343DC">
        <w:t>Milenko</w:t>
      </w:r>
      <w:proofErr w:type="spellEnd"/>
      <w:r w:rsidR="005343DC">
        <w:t xml:space="preserve"> </w:t>
      </w:r>
      <w:proofErr w:type="spellStart"/>
      <w:r w:rsidR="005343DC">
        <w:t>Kabaš</w:t>
      </w:r>
      <w:proofErr w:type="spellEnd"/>
      <w:r w:rsidR="005343DC">
        <w:t xml:space="preserve">, </w:t>
      </w:r>
      <w:r w:rsidR="005343DC" w:rsidRPr="00F35DD1">
        <w:rPr>
          <w:lang w:val="en-GB"/>
        </w:rPr>
        <w:t xml:space="preserve">Mr </w:t>
      </w:r>
      <w:proofErr w:type="spellStart"/>
      <w:r w:rsidR="005343DC" w:rsidRPr="00F35DD1">
        <w:rPr>
          <w:lang w:val="en-GB"/>
        </w:rPr>
        <w:t>Mića</w:t>
      </w:r>
      <w:proofErr w:type="spellEnd"/>
      <w:r w:rsidR="005343DC" w:rsidRPr="00F35DD1">
        <w:rPr>
          <w:lang w:val="en-GB"/>
        </w:rPr>
        <w:t xml:space="preserve"> </w:t>
      </w:r>
      <w:proofErr w:type="spellStart"/>
      <w:r w:rsidR="005343DC" w:rsidRPr="00F35DD1">
        <w:rPr>
          <w:lang w:val="en-GB"/>
        </w:rPr>
        <w:t>Petrović</w:t>
      </w:r>
      <w:proofErr w:type="spellEnd"/>
      <w:r w:rsidR="005343DC" w:rsidRPr="00F35DD1">
        <w:rPr>
          <w:lang w:val="en-GB"/>
        </w:rPr>
        <w:t xml:space="preserve"> and Mrs Radmila </w:t>
      </w:r>
      <w:proofErr w:type="spellStart"/>
      <w:r w:rsidR="005343DC" w:rsidRPr="00F35DD1">
        <w:rPr>
          <w:lang w:val="en-GB"/>
        </w:rPr>
        <w:t>Petrović</w:t>
      </w:r>
      <w:proofErr w:type="spellEnd"/>
      <w:r w:rsidR="00822CDA" w:rsidRPr="000D0C3A">
        <w:rPr>
          <w:lang w:val="en-GB"/>
        </w:rPr>
        <w:t xml:space="preserve"> </w:t>
      </w:r>
      <w:r w:rsidR="00236471" w:rsidRPr="000D0C3A">
        <w:rPr>
          <w:lang w:val="en-GB"/>
        </w:rPr>
        <w:t xml:space="preserve">took place </w:t>
      </w:r>
      <w:r w:rsidR="00215AAA">
        <w:t>immediately after the</w:t>
      </w:r>
      <w:r w:rsidR="00236471" w:rsidRPr="000D0C3A">
        <w:t xml:space="preserve"> deployment of UNMIK in Kosovo, </w:t>
      </w:r>
      <w:r w:rsidR="00F64E35">
        <w:t>so</w:t>
      </w:r>
      <w:r w:rsidR="005E36E7">
        <w:t>o</w:t>
      </w:r>
      <w:r w:rsidR="00F64E35">
        <w:t>n at the end of armed conflict, when crime</w:t>
      </w:r>
      <w:r w:rsidR="00236471" w:rsidRPr="000D0C3A">
        <w:t>, violence and insecurity were rife.</w:t>
      </w:r>
      <w:bookmarkEnd w:id="87"/>
      <w:r w:rsidR="00236471" w:rsidRPr="000D0C3A">
        <w:t xml:space="preserve"> </w:t>
      </w:r>
    </w:p>
    <w:p w:rsidR="00E64BC1" w:rsidRPr="00EE6125" w:rsidRDefault="00E64BC1" w:rsidP="00BE6362">
      <w:pPr>
        <w:pStyle w:val="ColorfulList-Accent11"/>
        <w:tabs>
          <w:tab w:val="num" w:pos="450"/>
        </w:tabs>
        <w:suppressAutoHyphens w:val="0"/>
        <w:ind w:left="450" w:hanging="450"/>
        <w:contextualSpacing/>
        <w:jc w:val="both"/>
        <w:rPr>
          <w:color w:val="000000"/>
          <w:lang w:val="en-GB"/>
        </w:rPr>
      </w:pPr>
    </w:p>
    <w:p w:rsidR="00E64BC1" w:rsidRPr="00EE6125" w:rsidRDefault="00BC6DA1" w:rsidP="003D4233">
      <w:pPr>
        <w:numPr>
          <w:ilvl w:val="0"/>
          <w:numId w:val="2"/>
        </w:numPr>
        <w:tabs>
          <w:tab w:val="num" w:pos="450"/>
        </w:tabs>
        <w:ind w:left="450" w:hanging="450"/>
        <w:jc w:val="both"/>
        <w:rPr>
          <w:color w:val="000000"/>
        </w:rPr>
      </w:pPr>
      <w:r w:rsidRPr="00EE6125">
        <w:rPr>
          <w:color w:val="000000"/>
          <w:lang w:val="en-GB" w:eastAsia="en-GB"/>
        </w:rPr>
        <w:t>Nevertheless, o</w:t>
      </w:r>
      <w:r w:rsidR="00E64BC1" w:rsidRPr="00EE6125">
        <w:rPr>
          <w:color w:val="000000"/>
          <w:lang w:val="en-GB" w:eastAsia="en-GB"/>
        </w:rPr>
        <w:t xml:space="preserve">n his part, the SRSG does not contest that UNMIK had a duty to investigate the present case </w:t>
      </w:r>
      <w:r w:rsidR="00E64BC1" w:rsidRPr="00EE6125">
        <w:rPr>
          <w:color w:val="000000"/>
          <w:lang w:val="en-GB"/>
        </w:rPr>
        <w:t>under</w:t>
      </w:r>
      <w:r w:rsidR="00E64BC1" w:rsidRPr="00EE6125">
        <w:rPr>
          <w:color w:val="000000"/>
          <w:lang w:val="en-GB" w:eastAsia="en-GB"/>
        </w:rPr>
        <w:t xml:space="preserve">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97226F" w:rsidRPr="00EE6125" w:rsidRDefault="0097226F" w:rsidP="00BE6362">
      <w:pPr>
        <w:pStyle w:val="ColorfulList-Accent11"/>
        <w:tabs>
          <w:tab w:val="num" w:pos="450"/>
        </w:tabs>
        <w:suppressAutoHyphens w:val="0"/>
        <w:ind w:left="450" w:hanging="450"/>
        <w:contextualSpacing/>
        <w:jc w:val="both"/>
        <w:rPr>
          <w:color w:val="000000"/>
          <w:lang w:val="en-GB"/>
        </w:rPr>
      </w:pPr>
    </w:p>
    <w:p w:rsidR="0097226F" w:rsidRPr="00EE6125" w:rsidRDefault="0097226F" w:rsidP="003D4233">
      <w:pPr>
        <w:numPr>
          <w:ilvl w:val="0"/>
          <w:numId w:val="2"/>
        </w:numPr>
        <w:tabs>
          <w:tab w:val="num" w:pos="450"/>
        </w:tabs>
        <w:ind w:left="450" w:hanging="450"/>
        <w:jc w:val="both"/>
        <w:rPr>
          <w:color w:val="000000"/>
          <w:lang w:val="en-GB"/>
        </w:rPr>
      </w:pPr>
      <w:r w:rsidRPr="00EE6125">
        <w:rPr>
          <w:color w:val="000000"/>
          <w:lang w:val="en-GB"/>
        </w:rPr>
        <w:t>The Panel considers that</w:t>
      </w:r>
      <w:r w:rsidR="009D760E" w:rsidRPr="00EE6125">
        <w:rPr>
          <w:color w:val="000000"/>
          <w:lang w:val="en-GB"/>
        </w:rPr>
        <w:t xml:space="preserve"> the SRSG’s arguments</w:t>
      </w:r>
      <w:r w:rsidRPr="00EE6125">
        <w:rPr>
          <w:color w:val="000000"/>
          <w:lang w:val="en-GB"/>
        </w:rPr>
        <w:t xml:space="preserve"> raise two main questions: first, whether the standards of Article 2 continue to apply in situation of conflict or generalised violence and, secondly, whether such standards shall be consid</w:t>
      </w:r>
      <w:r w:rsidR="007245EF" w:rsidRPr="00EE6125">
        <w:rPr>
          <w:color w:val="000000"/>
          <w:lang w:val="en-GB"/>
        </w:rPr>
        <w:t>ered fully applicable to UNMIK.</w:t>
      </w:r>
    </w:p>
    <w:p w:rsidR="007245EF" w:rsidRPr="000D0C3A" w:rsidRDefault="007245EF" w:rsidP="00BE6362">
      <w:pPr>
        <w:tabs>
          <w:tab w:val="num" w:pos="450"/>
        </w:tabs>
        <w:ind w:left="450" w:hanging="450"/>
        <w:contextualSpacing/>
        <w:jc w:val="both"/>
        <w:rPr>
          <w:color w:val="000000"/>
          <w:lang w:val="en-GB"/>
        </w:rPr>
      </w:pPr>
    </w:p>
    <w:p w:rsidR="0097226F" w:rsidRPr="000D0C3A" w:rsidRDefault="0097226F" w:rsidP="003D4233">
      <w:pPr>
        <w:numPr>
          <w:ilvl w:val="0"/>
          <w:numId w:val="2"/>
        </w:numPr>
        <w:tabs>
          <w:tab w:val="num" w:pos="450"/>
        </w:tabs>
        <w:ind w:left="450" w:hanging="450"/>
        <w:jc w:val="both"/>
        <w:rPr>
          <w:color w:val="000000"/>
          <w:lang w:val="en-GB"/>
        </w:rPr>
      </w:pPr>
      <w:r w:rsidRPr="000D0C3A">
        <w:rPr>
          <w:color w:val="000000"/>
          <w:lang w:val="en-GB"/>
        </w:rPr>
        <w:t xml:space="preserve">As regards the applicability of Article 2 to UNMIK, the Panel recalls </w:t>
      </w:r>
      <w:r w:rsidRPr="000D0C3A">
        <w:rPr>
          <w:color w:val="000000"/>
          <w:lang w:val="en-GB" w:eastAsia="nl-BE"/>
        </w:rPr>
        <w:t xml:space="preserve">that with the adoption of the UNMIK Regulation No. 1999/1 on 25 July 1999 UNMIK undertook an </w:t>
      </w:r>
      <w:r w:rsidRPr="000D0C3A">
        <w:rPr>
          <w:lang w:val="en-GB"/>
        </w:rPr>
        <w:t>obligation</w:t>
      </w:r>
      <w:r w:rsidRPr="000D0C3A">
        <w:rPr>
          <w:color w:val="000000"/>
          <w:lang w:val="en-GB" w:eastAsia="nl-BE"/>
        </w:rPr>
        <w:t xml:space="preserve"> to observe internationally recognised human rights standards in exercising its </w:t>
      </w:r>
      <w:r w:rsidRPr="000D0C3A">
        <w:rPr>
          <w:lang w:val="en-GB"/>
        </w:rPr>
        <w:t>functions</w:t>
      </w:r>
      <w:r w:rsidRPr="000D0C3A">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0D0C3A">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0D0C3A">
        <w:rPr>
          <w:i/>
          <w:lang w:val="en-GB"/>
        </w:rPr>
        <w:t>Milogorić</w:t>
      </w:r>
      <w:proofErr w:type="spellEnd"/>
      <w:r w:rsidR="00BB3617" w:rsidRPr="000D0C3A">
        <w:rPr>
          <w:i/>
          <w:lang w:val="en-GB"/>
        </w:rPr>
        <w:t xml:space="preserve"> </w:t>
      </w:r>
      <w:r w:rsidRPr="000D0C3A">
        <w:rPr>
          <w:i/>
          <w:lang w:val="en-GB"/>
        </w:rPr>
        <w:t>and Others,</w:t>
      </w:r>
      <w:r w:rsidRPr="000D0C3A">
        <w:rPr>
          <w:lang w:val="en-GB"/>
        </w:rPr>
        <w:t xml:space="preserve"> </w:t>
      </w:r>
      <w:r w:rsidR="000253E8" w:rsidRPr="000D0C3A">
        <w:rPr>
          <w:lang w:val="en-GB"/>
        </w:rPr>
        <w:t>nos</w:t>
      </w:r>
      <w:r w:rsidRPr="000D0C3A">
        <w:rPr>
          <w:lang w:val="en-GB"/>
        </w:rPr>
        <w:t xml:space="preserve"> 38/08 and others, opinion of 24 March 2011, § 44; </w:t>
      </w:r>
      <w:proofErr w:type="spellStart"/>
      <w:r w:rsidRPr="000D0C3A">
        <w:rPr>
          <w:i/>
          <w:lang w:val="en-GB"/>
        </w:rPr>
        <w:t>Berisha</w:t>
      </w:r>
      <w:proofErr w:type="spellEnd"/>
      <w:r w:rsidRPr="000D0C3A">
        <w:rPr>
          <w:i/>
          <w:lang w:val="en-GB"/>
        </w:rPr>
        <w:t xml:space="preserve"> and Others,</w:t>
      </w:r>
      <w:r w:rsidRPr="000D0C3A">
        <w:rPr>
          <w:lang w:val="en-GB"/>
        </w:rPr>
        <w:t xml:space="preserve"> </w:t>
      </w:r>
      <w:r w:rsidR="000253E8" w:rsidRPr="000D0C3A">
        <w:rPr>
          <w:lang w:val="en-GB"/>
        </w:rPr>
        <w:t>nos</w:t>
      </w:r>
      <w:r w:rsidRPr="000D0C3A">
        <w:rPr>
          <w:lang w:val="en-GB"/>
        </w:rPr>
        <w:t xml:space="preserve"> 27/08 and others, opinion of 23 February 2011,§ 25; </w:t>
      </w:r>
      <w:proofErr w:type="spellStart"/>
      <w:r w:rsidRPr="000D0C3A">
        <w:rPr>
          <w:i/>
          <w:lang w:val="en-GB"/>
        </w:rPr>
        <w:t>Lalić</w:t>
      </w:r>
      <w:proofErr w:type="spellEnd"/>
      <w:r w:rsidRPr="000D0C3A">
        <w:rPr>
          <w:i/>
          <w:lang w:val="en-GB"/>
        </w:rPr>
        <w:t xml:space="preserve"> and Others</w:t>
      </w:r>
      <w:r w:rsidRPr="000D0C3A">
        <w:rPr>
          <w:lang w:val="en-GB"/>
        </w:rPr>
        <w:t xml:space="preserve">, </w:t>
      </w:r>
      <w:r w:rsidR="000253E8" w:rsidRPr="000D0C3A">
        <w:rPr>
          <w:lang w:val="en-GB"/>
        </w:rPr>
        <w:t>nos</w:t>
      </w:r>
      <w:r w:rsidRPr="000D0C3A">
        <w:rPr>
          <w:lang w:val="en-GB"/>
        </w:rPr>
        <w:t xml:space="preserve"> 09/08 and others, opinion of 9 June 2012, § 22).</w:t>
      </w:r>
    </w:p>
    <w:p w:rsidR="0097226F" w:rsidRPr="000D0C3A" w:rsidRDefault="0097226F" w:rsidP="00BE6362">
      <w:pPr>
        <w:pStyle w:val="ColorfulList-Accent11"/>
        <w:tabs>
          <w:tab w:val="num" w:pos="450"/>
        </w:tabs>
        <w:suppressAutoHyphens w:val="0"/>
        <w:ind w:left="450" w:hanging="450"/>
        <w:contextualSpacing/>
        <w:jc w:val="both"/>
        <w:rPr>
          <w:color w:val="000000"/>
          <w:lang w:val="en-GB" w:eastAsia="en-US"/>
        </w:rPr>
      </w:pPr>
    </w:p>
    <w:p w:rsidR="0097226F" w:rsidRPr="00EE6125" w:rsidRDefault="0097226F" w:rsidP="003D4233">
      <w:pPr>
        <w:numPr>
          <w:ilvl w:val="0"/>
          <w:numId w:val="2"/>
        </w:numPr>
        <w:tabs>
          <w:tab w:val="num" w:pos="450"/>
        </w:tabs>
        <w:ind w:left="450" w:hanging="450"/>
        <w:jc w:val="both"/>
        <w:rPr>
          <w:color w:val="000000"/>
          <w:lang w:val="en-GB"/>
        </w:rPr>
      </w:pPr>
      <w:r w:rsidRPr="000D0C3A">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0D0C3A">
        <w:rPr>
          <w:color w:val="000000"/>
          <w:lang w:val="en-GB"/>
        </w:rPr>
        <w:t>Yugoslavia</w:t>
      </w:r>
      <w:r w:rsidRPr="000D0C3A">
        <w:rPr>
          <w:lang w:val="en-GB"/>
        </w:rPr>
        <w:t xml:space="preserve"> (see, among other examples, ECtHR, </w:t>
      </w:r>
      <w:r w:rsidRPr="000D0C3A">
        <w:rPr>
          <w:i/>
          <w:lang w:val="en-GB"/>
        </w:rPr>
        <w:t>Palić v. Bosnia and Herzegovina,</w:t>
      </w:r>
      <w:r w:rsidRPr="000D0C3A">
        <w:rPr>
          <w:lang w:val="en-GB"/>
        </w:rPr>
        <w:t xml:space="preserve"> cited in § </w:t>
      </w:r>
      <w:r w:rsidR="0037719A">
        <w:fldChar w:fldCharType="begin"/>
      </w:r>
      <w:r w:rsidR="0037719A">
        <w:instrText xml:space="preserve"> REF _Ref346724174 \r \h  \* MERGEFORMAT </w:instrText>
      </w:r>
      <w:r w:rsidR="0037719A">
        <w:fldChar w:fldCharType="separate"/>
      </w:r>
      <w:r w:rsidR="00A35759" w:rsidRPr="00A35759">
        <w:rPr>
          <w:lang w:val="en-GB"/>
        </w:rPr>
        <w:t>159</w:t>
      </w:r>
      <w:r w:rsidR="0037719A">
        <w:fldChar w:fldCharType="end"/>
      </w:r>
      <w:r w:rsidR="00A04837" w:rsidRPr="000D0C3A">
        <w:t xml:space="preserve"> </w:t>
      </w:r>
      <w:r w:rsidRPr="000D0C3A">
        <w:rPr>
          <w:lang w:val="en-GB"/>
        </w:rPr>
        <w:t xml:space="preserve">above, and ECtHR, </w:t>
      </w:r>
      <w:proofErr w:type="spellStart"/>
      <w:r w:rsidRPr="000D0C3A">
        <w:rPr>
          <w:i/>
          <w:lang w:val="en-GB"/>
        </w:rPr>
        <w:t>Jularić</w:t>
      </w:r>
      <w:proofErr w:type="spellEnd"/>
      <w:r w:rsidRPr="000D0C3A">
        <w:rPr>
          <w:i/>
          <w:lang w:val="en-GB"/>
        </w:rPr>
        <w:t xml:space="preserve"> v. Croatia</w:t>
      </w:r>
      <w:r w:rsidRPr="000D0C3A">
        <w:rPr>
          <w:lang w:val="en-GB"/>
        </w:rPr>
        <w:t xml:space="preserve">, no. 20106/06, judgment of 20 January 2011). The Court has </w:t>
      </w:r>
      <w:r w:rsidRPr="000D0C3A">
        <w:rPr>
          <w:lang w:val="en-GB"/>
        </w:rPr>
        <w:lastRenderedPageBreak/>
        <w:t xml:space="preserve">further held that that the procedural obligation under Article 2 continues to apply in “difficult security conditions, including in a context of armed conflict” (see ECtHR [GC], </w:t>
      </w:r>
      <w:r w:rsidRPr="000D0C3A">
        <w:rPr>
          <w:i/>
          <w:lang w:val="en-GB"/>
        </w:rPr>
        <w:t>Al-</w:t>
      </w:r>
      <w:proofErr w:type="spellStart"/>
      <w:r w:rsidRPr="000D0C3A">
        <w:rPr>
          <w:i/>
          <w:lang w:val="en-GB"/>
        </w:rPr>
        <w:t>Skeini</w:t>
      </w:r>
      <w:proofErr w:type="spellEnd"/>
      <w:r w:rsidRPr="000D0C3A">
        <w:rPr>
          <w:i/>
          <w:lang w:val="en-GB"/>
        </w:rPr>
        <w:t xml:space="preserve"> and Others v. the United Kingdom</w:t>
      </w:r>
      <w:r w:rsidRPr="000D0C3A">
        <w:rPr>
          <w:lang w:val="en-GB"/>
        </w:rPr>
        <w:t xml:space="preserve">, cited in § </w:t>
      </w:r>
      <w:r w:rsidR="0037719A">
        <w:fldChar w:fldCharType="begin"/>
      </w:r>
      <w:r w:rsidR="0037719A">
        <w:instrText xml:space="preserve"> REF _Ref398312896 \r \h  \* MERGEFORMAT </w:instrText>
      </w:r>
      <w:r w:rsidR="0037719A">
        <w:fldChar w:fldCharType="separate"/>
      </w:r>
      <w:r w:rsidR="00A35759" w:rsidRPr="00A35759">
        <w:rPr>
          <w:lang w:val="en-GB"/>
        </w:rPr>
        <w:t>163</w:t>
      </w:r>
      <w:r w:rsidR="0037719A">
        <w:fldChar w:fldCharType="end"/>
      </w:r>
      <w:r w:rsidR="00A04837" w:rsidRPr="000D0C3A">
        <w:t xml:space="preserve"> </w:t>
      </w:r>
      <w:r w:rsidRPr="000D0C3A">
        <w:rPr>
          <w:lang w:val="en-GB"/>
        </w:rPr>
        <w:t xml:space="preserve">above, at § 164; see also ECtHR, </w:t>
      </w:r>
      <w:proofErr w:type="spellStart"/>
      <w:r w:rsidRPr="000D0C3A">
        <w:rPr>
          <w:i/>
          <w:lang w:val="en-GB"/>
        </w:rPr>
        <w:t>Güleç</w:t>
      </w:r>
      <w:proofErr w:type="spellEnd"/>
      <w:r w:rsidRPr="000D0C3A">
        <w:rPr>
          <w:i/>
          <w:lang w:val="en-GB"/>
        </w:rPr>
        <w:t xml:space="preserve"> v. Turkey</w:t>
      </w:r>
      <w:r w:rsidRPr="000D0C3A">
        <w:rPr>
          <w:lang w:val="en-GB"/>
        </w:rPr>
        <w:t>, judgment of 27 July 1998, § 81, Reports 1998-IV; ECtHR,</w:t>
      </w:r>
      <w:r w:rsidR="001B245B" w:rsidRPr="000D0C3A">
        <w:rPr>
          <w:lang w:val="en-GB"/>
        </w:rPr>
        <w:t xml:space="preserve"> </w:t>
      </w:r>
      <w:proofErr w:type="spellStart"/>
      <w:r w:rsidRPr="000D0C3A">
        <w:rPr>
          <w:i/>
          <w:lang w:val="en-GB"/>
        </w:rPr>
        <w:t>Ergi</w:t>
      </w:r>
      <w:proofErr w:type="spellEnd"/>
      <w:r w:rsidRPr="000D0C3A">
        <w:rPr>
          <w:i/>
          <w:lang w:val="en-GB"/>
        </w:rPr>
        <w:t xml:space="preserve"> v. Turkey</w:t>
      </w:r>
      <w:r w:rsidRPr="000D0C3A">
        <w:rPr>
          <w:lang w:val="en-GB"/>
        </w:rPr>
        <w:t xml:space="preserve">, judgment of 28 July </w:t>
      </w:r>
      <w:r w:rsidRPr="00EE6125">
        <w:rPr>
          <w:color w:val="000000"/>
          <w:lang w:val="en-GB"/>
        </w:rPr>
        <w:t>1998</w:t>
      </w:r>
      <w:r w:rsidR="00BB3617" w:rsidRPr="00EE6125">
        <w:rPr>
          <w:color w:val="000000"/>
          <w:lang w:val="en-GB"/>
        </w:rPr>
        <w:t xml:space="preserve"> </w:t>
      </w:r>
      <w:r w:rsidRPr="00EE6125">
        <w:rPr>
          <w:color w:val="000000"/>
          <w:lang w:val="en-GB"/>
        </w:rPr>
        <w:t>, §§ 79 and 82, Reports 1998-IV; ECtHR,</w:t>
      </w:r>
      <w:r w:rsidR="00726F40" w:rsidRPr="00EE6125">
        <w:rPr>
          <w:color w:val="000000"/>
          <w:lang w:val="en-GB"/>
        </w:rPr>
        <w:t xml:space="preserve"> </w:t>
      </w:r>
      <w:proofErr w:type="spellStart"/>
      <w:r w:rsidRPr="00EE6125">
        <w:rPr>
          <w:i/>
          <w:color w:val="000000"/>
          <w:lang w:val="en-GB"/>
        </w:rPr>
        <w:t>Ahmet</w:t>
      </w:r>
      <w:proofErr w:type="spellEnd"/>
      <w:r w:rsidR="00BB3617" w:rsidRPr="00EE6125">
        <w:rPr>
          <w:i/>
          <w:color w:val="000000"/>
          <w:lang w:val="en-GB"/>
        </w:rPr>
        <w:t xml:space="preserve"> </w:t>
      </w:r>
      <w:proofErr w:type="spellStart"/>
      <w:r w:rsidRPr="00EE6125">
        <w:rPr>
          <w:i/>
          <w:color w:val="000000"/>
          <w:lang w:val="en-GB"/>
        </w:rPr>
        <w:t>Özkan</w:t>
      </w:r>
      <w:proofErr w:type="spellEnd"/>
      <w:r w:rsidRPr="00EE6125">
        <w:rPr>
          <w:i/>
          <w:color w:val="000000"/>
          <w:lang w:val="en-GB"/>
        </w:rPr>
        <w:t xml:space="preserve"> and Others v. Turkey</w:t>
      </w:r>
      <w:r w:rsidRPr="00EE6125">
        <w:rPr>
          <w:color w:val="000000"/>
          <w:lang w:val="en-GB"/>
        </w:rPr>
        <w:t xml:space="preserve">, cited in § </w:t>
      </w:r>
      <w:r w:rsidR="0037719A">
        <w:fldChar w:fldCharType="begin"/>
      </w:r>
      <w:r w:rsidR="0037719A">
        <w:instrText xml:space="preserve"> REF _Ref346723791 \r \h  \* MERGEFORMAT </w:instrText>
      </w:r>
      <w:r w:rsidR="0037719A">
        <w:fldChar w:fldCharType="separate"/>
      </w:r>
      <w:r w:rsidR="00A35759" w:rsidRPr="00A35759">
        <w:rPr>
          <w:color w:val="000000"/>
          <w:lang w:val="en-GB"/>
        </w:rPr>
        <w:t>158</w:t>
      </w:r>
      <w:r w:rsidR="0037719A">
        <w:fldChar w:fldCharType="end"/>
      </w:r>
      <w:r w:rsidRPr="00EE6125">
        <w:rPr>
          <w:color w:val="000000"/>
          <w:lang w:val="en-GB"/>
        </w:rPr>
        <w:t xml:space="preserve"> above, at §§ 85-90, 309-320 and 326-330;</w:t>
      </w:r>
      <w:r w:rsidR="00B408E6" w:rsidRPr="00EE6125">
        <w:rPr>
          <w:color w:val="000000"/>
          <w:lang w:val="en-GB"/>
        </w:rPr>
        <w:t xml:space="preserve"> </w:t>
      </w:r>
      <w:proofErr w:type="spellStart"/>
      <w:r w:rsidRPr="00EE6125">
        <w:rPr>
          <w:i/>
          <w:color w:val="000000"/>
          <w:lang w:val="en-GB"/>
        </w:rPr>
        <w:t>Isayeva</w:t>
      </w:r>
      <w:proofErr w:type="spellEnd"/>
      <w:r w:rsidRPr="00EE6125">
        <w:rPr>
          <w:i/>
          <w:color w:val="000000"/>
          <w:lang w:val="en-GB"/>
        </w:rPr>
        <w:t xml:space="preserve"> v. Russia</w:t>
      </w:r>
      <w:r w:rsidRPr="00EE6125">
        <w:rPr>
          <w:color w:val="000000"/>
          <w:lang w:val="en-GB"/>
        </w:rPr>
        <w:t xml:space="preserve">, cited in § </w:t>
      </w:r>
      <w:r w:rsidR="0037719A">
        <w:fldChar w:fldCharType="begin"/>
      </w:r>
      <w:r w:rsidR="0037719A">
        <w:instrText xml:space="preserve"> REF _Ref346723791 \r \h  \* MERGEFORMAT </w:instrText>
      </w:r>
      <w:r w:rsidR="0037719A">
        <w:fldChar w:fldCharType="separate"/>
      </w:r>
      <w:r w:rsidR="00A35759" w:rsidRPr="00A35759">
        <w:rPr>
          <w:color w:val="000000"/>
          <w:lang w:val="en-GB"/>
        </w:rPr>
        <w:t>158</w:t>
      </w:r>
      <w:r w:rsidR="0037719A">
        <w:fldChar w:fldCharType="end"/>
      </w:r>
      <w:r w:rsidRPr="00EE6125">
        <w:rPr>
          <w:color w:val="000000"/>
          <w:lang w:val="en-GB"/>
        </w:rPr>
        <w:t xml:space="preserve"> above, at §§ 180 and 210; ECtHR, </w:t>
      </w:r>
      <w:proofErr w:type="spellStart"/>
      <w:r w:rsidRPr="00EE6125">
        <w:rPr>
          <w:i/>
          <w:color w:val="000000"/>
          <w:lang w:val="en-GB"/>
        </w:rPr>
        <w:t>Kanlibaş</w:t>
      </w:r>
      <w:proofErr w:type="spellEnd"/>
      <w:r w:rsidRPr="00EE6125">
        <w:rPr>
          <w:i/>
          <w:color w:val="000000"/>
          <w:lang w:val="en-GB"/>
        </w:rPr>
        <w:t xml:space="preserve"> v. Turkey</w:t>
      </w:r>
      <w:r w:rsidRPr="00EE6125">
        <w:rPr>
          <w:color w:val="000000"/>
          <w:lang w:val="en-GB"/>
        </w:rPr>
        <w:t>, no. 32444/96, judgment of 8 December 2005, §§ 39</w:t>
      </w:r>
      <w:r w:rsidR="008C774B" w:rsidRPr="00EE6125">
        <w:rPr>
          <w:color w:val="000000"/>
          <w:lang w:val="en-GB"/>
        </w:rPr>
        <w:t xml:space="preserve"> – </w:t>
      </w:r>
      <w:r w:rsidRPr="00EE6125">
        <w:rPr>
          <w:color w:val="000000"/>
          <w:lang w:val="en-GB"/>
        </w:rPr>
        <w:t>51</w:t>
      </w:r>
      <w:r w:rsidR="008C774B" w:rsidRPr="00EE6125">
        <w:rPr>
          <w:color w:val="000000"/>
          <w:lang w:val="en-GB"/>
        </w:rPr>
        <w:t xml:space="preserve">; ECtHR [GC], </w:t>
      </w:r>
      <w:r w:rsidR="008C774B" w:rsidRPr="00EE6125">
        <w:rPr>
          <w:i/>
          <w:color w:val="000000"/>
          <w:lang w:val="en-GB"/>
        </w:rPr>
        <w:t>Mocanu and Others v. Romania</w:t>
      </w:r>
      <w:r w:rsidR="008C774B" w:rsidRPr="00EE6125">
        <w:rPr>
          <w:color w:val="000000"/>
          <w:lang w:val="en-GB"/>
        </w:rPr>
        <w:t xml:space="preserve">, cited in § </w:t>
      </w:r>
      <w:r w:rsidR="0037719A">
        <w:fldChar w:fldCharType="begin"/>
      </w:r>
      <w:r w:rsidR="0037719A">
        <w:instrText xml:space="preserve"> REF _Ref401160192 \r \h  \* MERGEFORMAT </w:instrText>
      </w:r>
      <w:r w:rsidR="0037719A">
        <w:fldChar w:fldCharType="separate"/>
      </w:r>
      <w:r w:rsidR="00A35759" w:rsidRPr="00A35759">
        <w:rPr>
          <w:color w:val="000000"/>
          <w:lang w:val="en-GB"/>
        </w:rPr>
        <w:t>157</w:t>
      </w:r>
      <w:r w:rsidR="0037719A">
        <w:fldChar w:fldCharType="end"/>
      </w:r>
      <w:r w:rsidR="008C774B" w:rsidRPr="00EE6125">
        <w:rPr>
          <w:color w:val="000000"/>
          <w:lang w:val="en-GB"/>
        </w:rPr>
        <w:t xml:space="preserve"> above, at § 319</w:t>
      </w:r>
      <w:r w:rsidRPr="00EE6125">
        <w:rPr>
          <w:color w:val="000000"/>
          <w:lang w:val="en-GB"/>
        </w:rPr>
        <w:t xml:space="preserve">). </w:t>
      </w:r>
    </w:p>
    <w:p w:rsidR="0097226F" w:rsidRPr="00EE6125" w:rsidRDefault="0097226F" w:rsidP="00BE6362">
      <w:pPr>
        <w:pStyle w:val="ColorfulList-Accent11"/>
        <w:tabs>
          <w:tab w:val="num" w:pos="450"/>
        </w:tabs>
        <w:ind w:left="450" w:hanging="450"/>
        <w:rPr>
          <w:color w:val="000000"/>
          <w:lang w:val="en-GB"/>
        </w:rPr>
      </w:pPr>
    </w:p>
    <w:p w:rsidR="0097226F" w:rsidRPr="000D0C3A" w:rsidRDefault="0097226F" w:rsidP="003D4233">
      <w:pPr>
        <w:numPr>
          <w:ilvl w:val="0"/>
          <w:numId w:val="2"/>
        </w:numPr>
        <w:tabs>
          <w:tab w:val="num" w:pos="450"/>
        </w:tabs>
        <w:ind w:left="450" w:hanging="450"/>
        <w:jc w:val="both"/>
        <w:rPr>
          <w:color w:val="000000"/>
          <w:lang w:val="en-GB"/>
        </w:rPr>
      </w:pPr>
      <w:bookmarkStart w:id="88" w:name="_Ref401251707"/>
      <w:r w:rsidRPr="00EE6125">
        <w:rPr>
          <w:color w:val="000000"/>
          <w:lang w:val="en-GB"/>
        </w:rPr>
        <w:t>The Court has acknowledged that “where the death [and disappearances] to be investigated under Article 2 occur in circumstances</w:t>
      </w:r>
      <w:r w:rsidRPr="000D0C3A">
        <w:rPr>
          <w:lang w:val="en-GB"/>
        </w:rPr>
        <w:t xml:space="preserve"> of generalised violence, armed conflict or insurgency, obstacles may be placed in the way of investigators and concrete constraints may compel the use of less effective measures of investigation or may cause an investigation to be delayed” (see, ECtHR [GC], </w:t>
      </w:r>
      <w:r w:rsidRPr="000D0C3A">
        <w:rPr>
          <w:i/>
          <w:lang w:val="en-GB"/>
        </w:rPr>
        <w:t>Al-</w:t>
      </w:r>
      <w:proofErr w:type="spellStart"/>
      <w:r w:rsidRPr="000D0C3A">
        <w:rPr>
          <w:i/>
          <w:lang w:val="en-GB"/>
        </w:rPr>
        <w:t>Skeini</w:t>
      </w:r>
      <w:proofErr w:type="spellEnd"/>
      <w:r w:rsidRPr="000D0C3A">
        <w:rPr>
          <w:i/>
          <w:lang w:val="en-GB"/>
        </w:rPr>
        <w:t xml:space="preserve"> and Others v. the United Kingdom, </w:t>
      </w:r>
      <w:r w:rsidRPr="000D0C3A">
        <w:rPr>
          <w:lang w:val="en-GB"/>
        </w:rPr>
        <w:t>cited above, at §</w:t>
      </w:r>
      <w:r w:rsidR="0026408E" w:rsidRPr="000D0C3A">
        <w:rPr>
          <w:lang w:val="en-GB"/>
        </w:rPr>
        <w:t xml:space="preserve"> </w:t>
      </w:r>
      <w:r w:rsidRPr="000D0C3A">
        <w:rPr>
          <w:lang w:val="en-GB"/>
        </w:rPr>
        <w:t>164;</w:t>
      </w:r>
      <w:r w:rsidR="00F80146" w:rsidRPr="000D0C3A">
        <w:rPr>
          <w:lang w:val="en-GB"/>
        </w:rPr>
        <w:t xml:space="preserve"> </w:t>
      </w:r>
      <w:r w:rsidRPr="000D0C3A">
        <w:rPr>
          <w:lang w:val="en-GB"/>
        </w:rPr>
        <w:t>ECtHR,</w:t>
      </w:r>
      <w:r w:rsidR="00BB3617" w:rsidRPr="000D0C3A">
        <w:rPr>
          <w:lang w:val="en-GB"/>
        </w:rPr>
        <w:t xml:space="preserve"> </w:t>
      </w:r>
      <w:r w:rsidRPr="000D0C3A">
        <w:rPr>
          <w:i/>
          <w:lang w:val="en-GB"/>
        </w:rPr>
        <w:t>Bazorkina v. Russia</w:t>
      </w:r>
      <w:r w:rsidRPr="000D0C3A">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0D0C3A">
        <w:rPr>
          <w:i/>
          <w:lang w:val="en-GB"/>
        </w:rPr>
        <w:t>Kaya v. Turkey</w:t>
      </w:r>
      <w:r w:rsidRPr="000D0C3A">
        <w:rPr>
          <w:lang w:val="en-GB"/>
        </w:rPr>
        <w:t xml:space="preserve">, cited in § </w:t>
      </w:r>
      <w:r w:rsidR="0037719A">
        <w:fldChar w:fldCharType="begin"/>
      </w:r>
      <w:r w:rsidR="0037719A">
        <w:instrText xml:space="preserve"> REF _Ref347561805 \r \h  \* MERGEFORMAT </w:instrText>
      </w:r>
      <w:r w:rsidR="0037719A">
        <w:fldChar w:fldCharType="separate"/>
      </w:r>
      <w:r w:rsidR="00A35759" w:rsidRPr="00A35759">
        <w:rPr>
          <w:lang w:val="en-GB"/>
        </w:rPr>
        <w:t>156</w:t>
      </w:r>
      <w:r w:rsidR="0037719A">
        <w:fldChar w:fldCharType="end"/>
      </w:r>
      <w:r w:rsidRPr="000D0C3A">
        <w:rPr>
          <w:lang w:val="en-GB"/>
        </w:rPr>
        <w:t xml:space="preserve"> above, at §§ 86</w:t>
      </w:r>
      <w:r w:rsidRPr="000D0C3A">
        <w:rPr>
          <w:lang w:val="en-GB"/>
        </w:rPr>
        <w:noBreakHyphen/>
        <w:t xml:space="preserve">92; ECtHR, </w:t>
      </w:r>
      <w:proofErr w:type="spellStart"/>
      <w:r w:rsidRPr="000D0C3A">
        <w:rPr>
          <w:i/>
          <w:lang w:val="en-GB"/>
        </w:rPr>
        <w:t>Ergi</w:t>
      </w:r>
      <w:proofErr w:type="spellEnd"/>
      <w:r w:rsidR="00AF4D57" w:rsidRPr="000D0C3A">
        <w:rPr>
          <w:i/>
          <w:lang w:val="en-GB"/>
        </w:rPr>
        <w:t xml:space="preserve"> v Turkey</w:t>
      </w:r>
      <w:r w:rsidRPr="000D0C3A">
        <w:rPr>
          <w:i/>
          <w:lang w:val="en-GB"/>
        </w:rPr>
        <w:t xml:space="preserve">, </w:t>
      </w:r>
      <w:r w:rsidRPr="000D0C3A">
        <w:rPr>
          <w:lang w:val="en-GB"/>
        </w:rPr>
        <w:t xml:space="preserve">cited above, at §§ 82-85; ECtHR [GC], </w:t>
      </w:r>
      <w:proofErr w:type="spellStart"/>
      <w:r w:rsidRPr="000D0C3A">
        <w:rPr>
          <w:i/>
          <w:lang w:val="en-GB"/>
        </w:rPr>
        <w:t>Tanrıkulu</w:t>
      </w:r>
      <w:proofErr w:type="spellEnd"/>
      <w:r w:rsidRPr="000D0C3A">
        <w:rPr>
          <w:i/>
          <w:lang w:val="en-GB"/>
        </w:rPr>
        <w:t xml:space="preserve"> v. Turkey</w:t>
      </w:r>
      <w:r w:rsidRPr="000D0C3A">
        <w:rPr>
          <w:lang w:val="en-GB"/>
        </w:rPr>
        <w:t xml:space="preserve">, no. 23763/94, judgment of 8 July 1999, §§ 101-110, ECHR 1999-IV; ECtHR, </w:t>
      </w:r>
      <w:proofErr w:type="spellStart"/>
      <w:r w:rsidRPr="000D0C3A">
        <w:rPr>
          <w:i/>
          <w:lang w:val="en-GB"/>
        </w:rPr>
        <w:t>Khashiyev</w:t>
      </w:r>
      <w:proofErr w:type="spellEnd"/>
      <w:r w:rsidRPr="000D0C3A">
        <w:rPr>
          <w:i/>
          <w:lang w:val="en-GB"/>
        </w:rPr>
        <w:t xml:space="preserve"> and </w:t>
      </w:r>
      <w:proofErr w:type="spellStart"/>
      <w:r w:rsidRPr="000D0C3A">
        <w:rPr>
          <w:i/>
          <w:lang w:val="en-GB"/>
        </w:rPr>
        <w:t>Akayeva</w:t>
      </w:r>
      <w:proofErr w:type="spellEnd"/>
      <w:r w:rsidRPr="000D0C3A">
        <w:rPr>
          <w:i/>
          <w:lang w:val="en-GB"/>
        </w:rPr>
        <w:t xml:space="preserve"> v. Russia</w:t>
      </w:r>
      <w:r w:rsidRPr="000D0C3A">
        <w:rPr>
          <w:lang w:val="en-GB"/>
        </w:rPr>
        <w:t xml:space="preserve">, </w:t>
      </w:r>
      <w:r w:rsidR="000253E8" w:rsidRPr="000D0C3A">
        <w:rPr>
          <w:lang w:val="en-GB"/>
        </w:rPr>
        <w:t>nos</w:t>
      </w:r>
      <w:r w:rsidRPr="000D0C3A">
        <w:rPr>
          <w:lang w:val="en-GB"/>
        </w:rPr>
        <w:t xml:space="preserve"> 57942/00 and 57945/00, judgment of 24 February 2005, §§ 156-166; ECtHR, </w:t>
      </w:r>
      <w:proofErr w:type="spellStart"/>
      <w:r w:rsidRPr="000D0C3A">
        <w:rPr>
          <w:i/>
          <w:lang w:val="en-GB"/>
        </w:rPr>
        <w:t>Isayeva</w:t>
      </w:r>
      <w:proofErr w:type="spellEnd"/>
      <w:r w:rsidRPr="000D0C3A">
        <w:rPr>
          <w:i/>
          <w:lang w:val="en-GB"/>
        </w:rPr>
        <w:t xml:space="preserve"> v. Russia</w:t>
      </w:r>
      <w:r w:rsidRPr="000D0C3A">
        <w:rPr>
          <w:lang w:val="en-GB"/>
        </w:rPr>
        <w:t xml:space="preserve">, cited </w:t>
      </w:r>
      <w:r w:rsidRPr="000D0C3A">
        <w:rPr>
          <w:color w:val="000000"/>
          <w:lang w:val="en-GB"/>
        </w:rPr>
        <w:t xml:space="preserve">in § </w:t>
      </w:r>
      <w:r w:rsidR="0037719A">
        <w:fldChar w:fldCharType="begin"/>
      </w:r>
      <w:r w:rsidR="0037719A">
        <w:instrText xml:space="preserve"> REF _Ref346723791 \r \h  \* MERGEFORMAT </w:instrText>
      </w:r>
      <w:r w:rsidR="0037719A">
        <w:fldChar w:fldCharType="separate"/>
      </w:r>
      <w:r w:rsidR="00A35759" w:rsidRPr="00A35759">
        <w:rPr>
          <w:color w:val="000000"/>
          <w:lang w:val="en-GB"/>
        </w:rPr>
        <w:t>158</w:t>
      </w:r>
      <w:r w:rsidR="0037719A">
        <w:fldChar w:fldCharType="end"/>
      </w:r>
      <w:r w:rsidR="00A04837" w:rsidRPr="000D0C3A">
        <w:t xml:space="preserve"> </w:t>
      </w:r>
      <w:r w:rsidRPr="000D0C3A">
        <w:rPr>
          <w:lang w:val="en-GB"/>
        </w:rPr>
        <w:t>above, at §§ 215</w:t>
      </w:r>
      <w:r w:rsidRPr="000D0C3A">
        <w:rPr>
          <w:lang w:val="en-GB"/>
        </w:rPr>
        <w:noBreakHyphen/>
        <w:t xml:space="preserve">224; ECtHR, </w:t>
      </w:r>
      <w:proofErr w:type="spellStart"/>
      <w:r w:rsidRPr="000D0C3A">
        <w:rPr>
          <w:i/>
          <w:lang w:val="en-GB"/>
        </w:rPr>
        <w:t>Musayev</w:t>
      </w:r>
      <w:proofErr w:type="spellEnd"/>
      <w:r w:rsidRPr="000D0C3A">
        <w:rPr>
          <w:i/>
          <w:lang w:val="en-GB"/>
        </w:rPr>
        <w:t xml:space="preserve"> and Others v. Russia</w:t>
      </w:r>
      <w:r w:rsidRPr="000D0C3A">
        <w:rPr>
          <w:lang w:val="en-GB"/>
        </w:rPr>
        <w:t xml:space="preserve">, </w:t>
      </w:r>
      <w:r w:rsidR="000253E8" w:rsidRPr="000D0C3A">
        <w:rPr>
          <w:lang w:val="en-GB"/>
        </w:rPr>
        <w:t>nos</w:t>
      </w:r>
      <w:r w:rsidRPr="000D0C3A">
        <w:rPr>
          <w:lang w:val="en-GB"/>
        </w:rPr>
        <w:t xml:space="preserve"> 57941/00 and others, judgment of 26 July 2007, §§ 158-165).</w:t>
      </w:r>
      <w:bookmarkEnd w:id="88"/>
      <w:r w:rsidRPr="000D0C3A">
        <w:rPr>
          <w:lang w:val="en-GB"/>
        </w:rPr>
        <w:t xml:space="preserve"> </w:t>
      </w:r>
    </w:p>
    <w:p w:rsidR="0097226F" w:rsidRPr="000D0C3A" w:rsidRDefault="0097226F" w:rsidP="00BE6362">
      <w:pPr>
        <w:pStyle w:val="ColorfulList-Accent11"/>
        <w:tabs>
          <w:tab w:val="num" w:pos="450"/>
        </w:tabs>
        <w:ind w:left="450" w:hanging="450"/>
        <w:jc w:val="both"/>
        <w:rPr>
          <w:color w:val="000000"/>
          <w:lang w:val="en-GB" w:eastAsia="en-US"/>
        </w:rPr>
      </w:pPr>
    </w:p>
    <w:p w:rsidR="0097226F" w:rsidRPr="000D0C3A" w:rsidRDefault="0097226F" w:rsidP="003D4233">
      <w:pPr>
        <w:numPr>
          <w:ilvl w:val="0"/>
          <w:numId w:val="2"/>
        </w:numPr>
        <w:tabs>
          <w:tab w:val="num" w:pos="450"/>
        </w:tabs>
        <w:ind w:left="450" w:hanging="450"/>
        <w:jc w:val="both"/>
        <w:rPr>
          <w:i/>
          <w:color w:val="000000"/>
          <w:lang w:val="en-GB"/>
        </w:rPr>
      </w:pPr>
      <w:bookmarkStart w:id="89" w:name="_Ref404677616"/>
      <w:r w:rsidRPr="000D0C3A">
        <w:rPr>
          <w:color w:val="000000"/>
          <w:lang w:val="en-GB"/>
        </w:rPr>
        <w:t xml:space="preserve">Similarly, the HRC has held that the right to life, including its procedural guarantees, shall be </w:t>
      </w:r>
      <w:r w:rsidRPr="000D0C3A">
        <w:rPr>
          <w:lang w:val="en-GB"/>
        </w:rPr>
        <w:t>considered</w:t>
      </w:r>
      <w:r w:rsidRPr="000D0C3A">
        <w:rPr>
          <w:color w:val="000000"/>
          <w:lang w:val="en-GB"/>
        </w:rPr>
        <w:t xml:space="preserve"> as the supreme right from which no derogation is </w:t>
      </w:r>
      <w:r w:rsidRPr="000D0C3A">
        <w:rPr>
          <w:lang w:val="en-GB"/>
        </w:rPr>
        <w:t>permitted</w:t>
      </w:r>
      <w:r w:rsidRPr="000D0C3A">
        <w:rPr>
          <w:color w:val="000000"/>
          <w:lang w:val="en-GB"/>
        </w:rPr>
        <w:t xml:space="preserve"> even in time of public emergency which threatens the life of the nation (see, HRC, General Comment No. 6, cited in § </w:t>
      </w:r>
      <w:r w:rsidR="0037719A">
        <w:fldChar w:fldCharType="begin"/>
      </w:r>
      <w:r w:rsidR="0037719A">
        <w:instrText xml:space="preserve"> REF _Ref348512105 \r \h  \* MERGEFORMAT </w:instrText>
      </w:r>
      <w:r w:rsidR="0037719A">
        <w:fldChar w:fldCharType="separate"/>
      </w:r>
      <w:r w:rsidR="00A35759" w:rsidRPr="00A35759">
        <w:rPr>
          <w:color w:val="000000"/>
          <w:lang w:val="en-GB"/>
        </w:rPr>
        <w:t>155</w:t>
      </w:r>
      <w:r w:rsidR="0037719A">
        <w:fldChar w:fldCharType="end"/>
      </w:r>
      <w:r w:rsidRPr="000D0C3A">
        <w:rPr>
          <w:color w:val="000000"/>
          <w:lang w:val="en-GB"/>
        </w:rPr>
        <w:t xml:space="preserve"> above, at § </w:t>
      </w:r>
      <w:r w:rsidRPr="000D0C3A">
        <w:rPr>
          <w:lang w:val="en-GB"/>
        </w:rPr>
        <w:t xml:space="preserve">1; HRC, </w:t>
      </w:r>
      <w:r w:rsidRPr="000D0C3A">
        <w:rPr>
          <w:i/>
          <w:lang w:val="en-GB"/>
        </w:rPr>
        <w:t>Abubakar</w:t>
      </w:r>
      <w:r w:rsidR="00BB3617" w:rsidRPr="000D0C3A">
        <w:rPr>
          <w:i/>
          <w:lang w:val="en-GB"/>
        </w:rPr>
        <w:t xml:space="preserve"> </w:t>
      </w:r>
      <w:r w:rsidRPr="000D0C3A">
        <w:rPr>
          <w:i/>
          <w:lang w:val="en-GB"/>
        </w:rPr>
        <w:t>Amirov and Aïzan</w:t>
      </w:r>
      <w:r w:rsidR="00BB3617" w:rsidRPr="000D0C3A">
        <w:rPr>
          <w:i/>
          <w:lang w:val="en-GB"/>
        </w:rPr>
        <w:t xml:space="preserve"> </w:t>
      </w:r>
      <w:r w:rsidRPr="000D0C3A">
        <w:rPr>
          <w:i/>
          <w:lang w:val="en-GB"/>
        </w:rPr>
        <w:t>Amirova v. Russian Federation</w:t>
      </w:r>
      <w:r w:rsidRPr="000D0C3A">
        <w:rPr>
          <w:lang w:val="en-GB"/>
        </w:rPr>
        <w:t xml:space="preserve">, communication no. 1447/2006, views of 22 April 2009, § 11.2, </w:t>
      </w:r>
      <w:r w:rsidRPr="000D0C3A">
        <w:rPr>
          <w:bCs/>
          <w:lang w:val="en-GB"/>
        </w:rPr>
        <w:t>CCPR/C/95/D/1447/2006</w:t>
      </w:r>
      <w:r w:rsidRPr="000D0C3A">
        <w:rPr>
          <w:lang w:val="en-GB"/>
        </w:rPr>
        <w:t>). Further, the HRC has stated the applicability of Article 2 (3), 6</w:t>
      </w:r>
      <w:r w:rsidRPr="000D0C3A">
        <w:rPr>
          <w:color w:val="000000"/>
          <w:lang w:val="en-GB"/>
        </w:rPr>
        <w:t xml:space="preserve"> and 7 of the ICCPR with specific reference to UNMIK’s obligation to conduct proper investigations on disappearances and abductions in Kosovo (see HRC, Concluding Observations of the Human Rights Committee: Kosovo (Serbia), 14 August 2006, </w:t>
      </w:r>
      <w:r w:rsidRPr="000D0C3A">
        <w:rPr>
          <w:lang w:val="en-GB"/>
        </w:rPr>
        <w:t>§§ 12-13, CCPR/C/UNK/CO/1).</w:t>
      </w:r>
      <w:bookmarkEnd w:id="89"/>
    </w:p>
    <w:p w:rsidR="0097226F" w:rsidRPr="000D0C3A" w:rsidRDefault="0097226F" w:rsidP="00BE6362">
      <w:pPr>
        <w:tabs>
          <w:tab w:val="num" w:pos="450"/>
        </w:tabs>
        <w:ind w:left="450" w:hanging="450"/>
        <w:rPr>
          <w:lang w:val="en-GB"/>
        </w:rPr>
      </w:pPr>
    </w:p>
    <w:p w:rsidR="00DC4D9D" w:rsidRPr="000D0C3A" w:rsidRDefault="0097226F" w:rsidP="003D4233">
      <w:pPr>
        <w:numPr>
          <w:ilvl w:val="0"/>
          <w:numId w:val="2"/>
        </w:numPr>
        <w:tabs>
          <w:tab w:val="num" w:pos="450"/>
        </w:tabs>
        <w:ind w:left="450" w:hanging="450"/>
        <w:jc w:val="both"/>
        <w:rPr>
          <w:lang w:val="en-GB"/>
        </w:rPr>
      </w:pPr>
      <w:bookmarkStart w:id="90" w:name="_Ref343611663"/>
      <w:r w:rsidRPr="000D0C3A">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0D0C3A">
        <w:rPr>
          <w:lang w:val="en-GB"/>
        </w:rPr>
        <w:t xml:space="preserve">to conduct such investigations, </w:t>
      </w:r>
      <w:r w:rsidRPr="000D0C3A">
        <w:rPr>
          <w:lang w:val="en-GB"/>
        </w:rPr>
        <w:t xml:space="preserve">made it crucial that UNMIK establish from the outset an environment conducive to the performance of meaningful investigations. This would involve putting in place a system that would </w:t>
      </w:r>
      <w:r w:rsidRPr="000D0C3A">
        <w:rPr>
          <w:lang w:val="en-GB"/>
        </w:rPr>
        <w:lastRenderedPageBreak/>
        <w:t xml:space="preserve">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0D0C3A">
        <w:rPr>
          <w:color w:val="000000"/>
          <w:lang w:val="en-GB"/>
        </w:rPr>
        <w:t xml:space="preserve">officers or units of UNMIK Police. Such a system should also take account of the protection needs of victims and witnesses (see, </w:t>
      </w:r>
      <w:r w:rsidRPr="000D0C3A">
        <w:rPr>
          <w:i/>
          <w:color w:val="000000"/>
          <w:lang w:val="en-GB"/>
        </w:rPr>
        <w:t>mutatis mutandis</w:t>
      </w:r>
      <w:r w:rsidRPr="000D0C3A">
        <w:rPr>
          <w:color w:val="000000"/>
          <w:lang w:val="en-GB"/>
        </w:rPr>
        <w:t xml:space="preserve">, ECtHR, </w:t>
      </w:r>
      <w:r w:rsidRPr="000D0C3A">
        <w:rPr>
          <w:i/>
          <w:color w:val="000000"/>
          <w:lang w:val="en-GB"/>
        </w:rPr>
        <w:t>R.R. and Others v. Hungary</w:t>
      </w:r>
      <w:r w:rsidRPr="000D0C3A">
        <w:rPr>
          <w:color w:val="000000"/>
          <w:lang w:val="en-GB"/>
        </w:rPr>
        <w:t xml:space="preserve">, no. 19400/11, judgment of 4 December 2012, §§ 28-32), as well as to consider the special vulnerability of displaced persons in post-conflict situations (see ECtHR [GC], </w:t>
      </w:r>
      <w:proofErr w:type="spellStart"/>
      <w:r w:rsidRPr="000D0C3A">
        <w:rPr>
          <w:i/>
          <w:color w:val="000000"/>
          <w:lang w:val="en-GB"/>
        </w:rPr>
        <w:t>Sargsyan</w:t>
      </w:r>
      <w:proofErr w:type="spellEnd"/>
      <w:r w:rsidRPr="000D0C3A">
        <w:rPr>
          <w:i/>
          <w:color w:val="000000"/>
          <w:lang w:val="en-GB"/>
        </w:rPr>
        <w:t xml:space="preserve"> v. Azerbaijan, </w:t>
      </w:r>
      <w:r w:rsidRPr="000D0C3A">
        <w:rPr>
          <w:color w:val="000000"/>
          <w:lang w:val="en-GB"/>
        </w:rPr>
        <w:t xml:space="preserve">no. 40167/06, decision of 14 December 2011, § 145; and ECtHR [GC], </w:t>
      </w:r>
      <w:proofErr w:type="spellStart"/>
      <w:r w:rsidRPr="000D0C3A">
        <w:rPr>
          <w:i/>
          <w:color w:val="000000"/>
          <w:lang w:val="en-GB"/>
        </w:rPr>
        <w:t>Chiragov</w:t>
      </w:r>
      <w:proofErr w:type="spellEnd"/>
      <w:r w:rsidRPr="000D0C3A">
        <w:rPr>
          <w:i/>
          <w:color w:val="000000"/>
          <w:lang w:val="en-GB"/>
        </w:rPr>
        <w:t xml:space="preserve"> and Others v. Armenia</w:t>
      </w:r>
      <w:r w:rsidRPr="000D0C3A">
        <w:rPr>
          <w:color w:val="000000"/>
          <w:lang w:val="en-GB"/>
        </w:rPr>
        <w:t>, no. 13216/05, decision of 14 December 2011, § 146). While understanding that the deployment and the organisation of the police and justice apparatus occurred</w:t>
      </w:r>
      <w:r w:rsidRPr="000D0C3A">
        <w:rPr>
          <w:lang w:val="en-GB"/>
        </w:rPr>
        <w:t xml:space="preserve"> gradually, the Panel deems that this process was completed in 2003 when the police and justice system in Kosovo was described as being “well-functioning” and “sustainable” by the UN Secretary-General (see § </w:t>
      </w:r>
      <w:r w:rsidR="0037719A">
        <w:fldChar w:fldCharType="begin"/>
      </w:r>
      <w:r w:rsidR="0037719A">
        <w:instrText xml:space="preserve"> REF _Ref398312960 \r \h  \* MERGEFORMAT </w:instrText>
      </w:r>
      <w:r w:rsidR="0037719A">
        <w:fldChar w:fldCharType="separate"/>
      </w:r>
      <w:r w:rsidR="00A35759" w:rsidRPr="00A35759">
        <w:rPr>
          <w:lang w:val="en-GB"/>
        </w:rPr>
        <w:t>45</w:t>
      </w:r>
      <w:r w:rsidR="0037719A">
        <w:fldChar w:fldCharType="end"/>
      </w:r>
      <w:r w:rsidR="00A04837" w:rsidRPr="000D0C3A">
        <w:rPr>
          <w:lang w:val="en-GB"/>
        </w:rPr>
        <w:t xml:space="preserve"> </w:t>
      </w:r>
      <w:r w:rsidRPr="000D0C3A">
        <w:rPr>
          <w:lang w:val="en-GB"/>
        </w:rPr>
        <w:t>above).</w:t>
      </w:r>
      <w:bookmarkEnd w:id="90"/>
    </w:p>
    <w:p w:rsidR="00DC4D9D" w:rsidRPr="000D0C3A" w:rsidRDefault="00DC4D9D" w:rsidP="00BE6362">
      <w:pPr>
        <w:pStyle w:val="ColorfulList-Accent11"/>
        <w:tabs>
          <w:tab w:val="num" w:pos="450"/>
        </w:tabs>
        <w:suppressAutoHyphens w:val="0"/>
        <w:ind w:left="450" w:hanging="450"/>
        <w:contextualSpacing/>
        <w:jc w:val="both"/>
        <w:rPr>
          <w:lang w:val="en-GB"/>
        </w:rPr>
      </w:pPr>
    </w:p>
    <w:p w:rsidR="00DC4D9D" w:rsidRPr="000D0C3A" w:rsidRDefault="00DC4D9D" w:rsidP="003D4233">
      <w:pPr>
        <w:numPr>
          <w:ilvl w:val="0"/>
          <w:numId w:val="2"/>
        </w:numPr>
        <w:tabs>
          <w:tab w:val="num" w:pos="450"/>
        </w:tabs>
        <w:ind w:left="450" w:hanging="450"/>
        <w:jc w:val="both"/>
        <w:rPr>
          <w:lang w:val="en-GB"/>
        </w:rPr>
      </w:pPr>
      <w:bookmarkStart w:id="91" w:name="_Ref398313089"/>
      <w:r w:rsidRPr="000D0C3A">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w:t>
      </w:r>
      <w:r w:rsidR="00F80146" w:rsidRPr="000D0C3A">
        <w:t xml:space="preserve">(see ECtHR, </w:t>
      </w:r>
      <w:r w:rsidR="00F80146" w:rsidRPr="000D0C3A">
        <w:rPr>
          <w:i/>
        </w:rPr>
        <w:t>Palić v. Bosnia and Herzegovina,</w:t>
      </w:r>
      <w:r w:rsidR="00F80146" w:rsidRPr="000D0C3A">
        <w:t xml:space="preserve"> cited in § </w:t>
      </w:r>
      <w:r w:rsidR="0037719A">
        <w:fldChar w:fldCharType="begin"/>
      </w:r>
      <w:r w:rsidR="0037719A">
        <w:instrText xml:space="preserve"> REF _Ref346724174 \r \h  \* MERGEFORMAT </w:instrText>
      </w:r>
      <w:r w:rsidR="0037719A">
        <w:fldChar w:fldCharType="separate"/>
      </w:r>
      <w:r w:rsidR="00A35759">
        <w:t>159</w:t>
      </w:r>
      <w:r w:rsidR="0037719A">
        <w:fldChar w:fldCharType="end"/>
      </w:r>
      <w:r w:rsidR="00A04837" w:rsidRPr="000D0C3A">
        <w:t xml:space="preserve"> </w:t>
      </w:r>
      <w:r w:rsidR="00F80146" w:rsidRPr="000D0C3A">
        <w:t xml:space="preserve">above, </w:t>
      </w:r>
      <w:r w:rsidR="00A04837" w:rsidRPr="000D0C3A">
        <w:t xml:space="preserve">at </w:t>
      </w:r>
      <w:r w:rsidR="00F80146" w:rsidRPr="000D0C3A">
        <w:t xml:space="preserve">§ 70; </w:t>
      </w:r>
      <w:proofErr w:type="spellStart"/>
      <w:r w:rsidR="00F80146" w:rsidRPr="000D0C3A">
        <w:rPr>
          <w:i/>
        </w:rPr>
        <w:t>Brecknell</w:t>
      </w:r>
      <w:proofErr w:type="spellEnd"/>
      <w:r w:rsidR="00F80146" w:rsidRPr="000D0C3A">
        <w:rPr>
          <w:i/>
        </w:rPr>
        <w:t xml:space="preserve"> v. The United Kingdom,</w:t>
      </w:r>
      <w:r w:rsidR="00F80146" w:rsidRPr="000D0C3A">
        <w:t xml:space="preserve"> no. 32457/04, judgment of 27 November 2007, § 62).</w:t>
      </w:r>
      <w:bookmarkEnd w:id="91"/>
    </w:p>
    <w:p w:rsidR="002E256E" w:rsidRPr="000D0C3A" w:rsidRDefault="002E256E" w:rsidP="002E256E">
      <w:pPr>
        <w:pStyle w:val="ColorfulList-Accent11"/>
        <w:rPr>
          <w:lang w:val="en-GB"/>
        </w:rPr>
      </w:pPr>
    </w:p>
    <w:p w:rsidR="002E256E" w:rsidRPr="000D0C3A" w:rsidRDefault="002E256E" w:rsidP="003D4233">
      <w:pPr>
        <w:numPr>
          <w:ilvl w:val="0"/>
          <w:numId w:val="2"/>
        </w:numPr>
        <w:tabs>
          <w:tab w:val="num" w:pos="450"/>
        </w:tabs>
        <w:ind w:left="450" w:hanging="450"/>
        <w:jc w:val="both"/>
        <w:rPr>
          <w:lang w:val="en-GB"/>
        </w:rPr>
      </w:pPr>
      <w:r w:rsidRPr="000D0C3A">
        <w:rPr>
          <w:lang w:val="en-GB"/>
        </w:rPr>
        <w:t>However, the Panel considers that, in the context of most serious crimes committed against civilian populations, Article 2 requi</w:t>
      </w:r>
      <w:r w:rsidR="00EF7DB5" w:rsidRPr="000D0C3A">
        <w:rPr>
          <w:lang w:val="en-GB"/>
        </w:rPr>
        <w:t>res that the authorities take</w:t>
      </w:r>
      <w:r w:rsidRPr="000D0C3A">
        <w:rPr>
          <w:lang w:val="en-GB"/>
        </w:rPr>
        <w:t xml:space="preserve"> all investigative efforts in order to establish the facts and bring perpetrators to justice.</w:t>
      </w:r>
      <w:r w:rsidR="00EF7DB5" w:rsidRPr="000D0C3A">
        <w:rPr>
          <w:lang w:val="en-GB"/>
        </w:rPr>
        <w:t xml:space="preserve"> Such cases shall be given the highest priority. </w:t>
      </w:r>
    </w:p>
    <w:p w:rsidR="0097226F" w:rsidRPr="000D0C3A" w:rsidRDefault="0097226F" w:rsidP="00BE6362">
      <w:pPr>
        <w:pStyle w:val="ColorfulList-Accent11"/>
        <w:tabs>
          <w:tab w:val="num" w:pos="450"/>
        </w:tabs>
        <w:ind w:left="450" w:hanging="450"/>
        <w:rPr>
          <w:lang w:val="en-GB"/>
        </w:rPr>
      </w:pPr>
    </w:p>
    <w:p w:rsidR="002E256E" w:rsidRPr="000D0C3A" w:rsidRDefault="0097226F" w:rsidP="003D4233">
      <w:pPr>
        <w:numPr>
          <w:ilvl w:val="0"/>
          <w:numId w:val="2"/>
        </w:numPr>
        <w:tabs>
          <w:tab w:val="num" w:pos="450"/>
        </w:tabs>
        <w:ind w:left="450" w:hanging="450"/>
        <w:jc w:val="both"/>
        <w:rPr>
          <w:rStyle w:val="sb8d990e2"/>
          <w:lang w:val="en-GB"/>
        </w:rPr>
      </w:pPr>
      <w:r w:rsidRPr="000D0C3A">
        <w:rPr>
          <w:rStyle w:val="sb8d990e2"/>
          <w:lang w:val="en-GB"/>
        </w:rPr>
        <w:t xml:space="preserve">The Panel further notes that its task is not to review relevant practices or alleged obstacles to the conduct of effective investigations </w:t>
      </w:r>
      <w:r w:rsidRPr="000D0C3A">
        <w:rPr>
          <w:rStyle w:val="s6b621b36"/>
          <w:i/>
          <w:lang w:val="en-GB"/>
        </w:rPr>
        <w:t xml:space="preserve">in </w:t>
      </w:r>
      <w:r w:rsidRPr="000D0C3A">
        <w:rPr>
          <w:rStyle w:val="wordhighlighted"/>
          <w:i/>
          <w:lang w:val="en-GB"/>
        </w:rPr>
        <w:t>abstracto</w:t>
      </w:r>
      <w:r w:rsidRPr="000D0C3A">
        <w:rPr>
          <w:rStyle w:val="sb8d990e2"/>
          <w:lang w:val="en-GB"/>
        </w:rPr>
        <w:t>, but only in relation to their </w:t>
      </w:r>
      <w:r w:rsidRPr="000D0C3A">
        <w:t>specific</w:t>
      </w:r>
      <w:r w:rsidRPr="000D0C3A">
        <w:rPr>
          <w:rStyle w:val="sb8d990e2"/>
          <w:lang w:val="en-GB"/>
        </w:rPr>
        <w:t xml:space="preserve"> application to the particular circumstances of a situation subject of a complaint before </w:t>
      </w:r>
      <w:r w:rsidRPr="000D0C3A">
        <w:rPr>
          <w:rStyle w:val="sb8d990e2"/>
          <w:color w:val="000000"/>
          <w:lang w:val="en-GB"/>
        </w:rPr>
        <w:t xml:space="preserve">it (see, ECtHR, </w:t>
      </w:r>
      <w:r w:rsidRPr="000D0C3A">
        <w:rPr>
          <w:rStyle w:val="s6b621b36"/>
          <w:i/>
          <w:color w:val="000000"/>
          <w:lang w:val="en-GB"/>
        </w:rPr>
        <w:t>Brogan</w:t>
      </w:r>
      <w:r w:rsidRPr="000D0C3A">
        <w:rPr>
          <w:rStyle w:val="s6b621b36"/>
          <w:i/>
          <w:lang w:val="en-GB"/>
        </w:rPr>
        <w:t xml:space="preserve"> and Others v. the United </w:t>
      </w:r>
      <w:r w:rsidRPr="000D0C3A">
        <w:rPr>
          <w:rStyle w:val="s6b621b36"/>
          <w:i/>
          <w:color w:val="000000"/>
          <w:lang w:val="en-GB"/>
        </w:rPr>
        <w:t>Kingdom</w:t>
      </w:r>
      <w:r w:rsidRPr="000D0C3A">
        <w:rPr>
          <w:rStyle w:val="sb8d990e2"/>
          <w:color w:val="000000"/>
          <w:lang w:val="en-GB"/>
        </w:rPr>
        <w:t xml:space="preserve">, </w:t>
      </w:r>
      <w:r w:rsidRPr="000D0C3A">
        <w:rPr>
          <w:rStyle w:val="column01"/>
          <w:color w:val="000000"/>
          <w:lang w:val="en-GB"/>
        </w:rPr>
        <w:t>judgment of</w:t>
      </w:r>
      <w:r w:rsidRPr="000D0C3A">
        <w:rPr>
          <w:rStyle w:val="sb8d990e2"/>
          <w:color w:val="000000"/>
          <w:lang w:val="en-GB"/>
        </w:rPr>
        <w:t xml:space="preserve"> 29</w:t>
      </w:r>
      <w:r w:rsidRPr="000D0C3A">
        <w:rPr>
          <w:rStyle w:val="sb8d990e2"/>
          <w:lang w:val="en-GB"/>
        </w:rPr>
        <w:t xml:space="preserve"> November 1988,</w:t>
      </w:r>
      <w:r w:rsidR="00F63136" w:rsidRPr="000D0C3A">
        <w:rPr>
          <w:rStyle w:val="sb8d990e2"/>
          <w:lang w:val="en-GB"/>
        </w:rPr>
        <w:t xml:space="preserve"> </w:t>
      </w:r>
      <w:r w:rsidRPr="000D0C3A">
        <w:rPr>
          <w:rStyle w:val="sb8d990e2"/>
          <w:lang w:val="en-GB"/>
        </w:rPr>
        <w:t xml:space="preserve">§ 53, Series A no. 145-B). </w:t>
      </w:r>
      <w:r w:rsidRPr="000D0C3A">
        <w:rPr>
          <w:lang w:val="en-GB"/>
        </w:rPr>
        <w:t>The Panel t</w:t>
      </w:r>
      <w:r w:rsidR="006E35CF" w:rsidRPr="000D0C3A">
        <w:rPr>
          <w:lang w:val="en-GB"/>
        </w:rPr>
        <w:t xml:space="preserve">herefore determines that </w:t>
      </w:r>
      <w:r w:rsidRPr="000D0C3A">
        <w:rPr>
          <w:lang w:val="en-GB"/>
        </w:rPr>
        <w:t xml:space="preserve">the nature and degree of scrutiny to determine whether the effectiveness of the investigation satisfies the minimum threshold depends on the circumstances of the particular case. </w:t>
      </w:r>
      <w:r w:rsidRPr="000D0C3A">
        <w:rPr>
          <w:rStyle w:val="sb8d990e2"/>
          <w:lang w:val="en-GB"/>
        </w:rPr>
        <w:t>For these reasons, the Panel considers that it will establish with regard to each case if all reasonable steps were taken to conduct an effective investigation as prescribed by Article 2,</w:t>
      </w:r>
      <w:r w:rsidR="00227B38" w:rsidRPr="000D0C3A">
        <w:rPr>
          <w:rStyle w:val="sb8d990e2"/>
          <w:lang w:val="en-GB"/>
        </w:rPr>
        <w:t xml:space="preserve"> </w:t>
      </w:r>
      <w:r w:rsidRPr="000D0C3A">
        <w:rPr>
          <w:rStyle w:val="sb8d990e2"/>
          <w:lang w:val="en-GB"/>
        </w:rPr>
        <w:t>having regard to the realities of the investigative work in Kosovo</w:t>
      </w:r>
      <w:r w:rsidR="00E92FFD" w:rsidRPr="000D0C3A">
        <w:rPr>
          <w:rStyle w:val="sb8d990e2"/>
          <w:lang w:val="en-GB"/>
        </w:rPr>
        <w:t>.</w:t>
      </w:r>
    </w:p>
    <w:p w:rsidR="00F0530E" w:rsidRPr="000D0C3A" w:rsidRDefault="00F0530E" w:rsidP="00BE6362">
      <w:pPr>
        <w:pStyle w:val="ColorfulList-Accent11"/>
        <w:tabs>
          <w:tab w:val="num" w:pos="450"/>
        </w:tabs>
        <w:ind w:left="450" w:hanging="450"/>
        <w:rPr>
          <w:rStyle w:val="sb8d990e2"/>
          <w:lang w:val="en-GB"/>
        </w:rPr>
      </w:pPr>
    </w:p>
    <w:p w:rsidR="00641D5D" w:rsidRPr="000D0C3A" w:rsidRDefault="00641D5D" w:rsidP="00641D5D">
      <w:pPr>
        <w:numPr>
          <w:ilvl w:val="0"/>
          <w:numId w:val="2"/>
        </w:numPr>
        <w:tabs>
          <w:tab w:val="num" w:pos="450"/>
        </w:tabs>
        <w:ind w:left="450" w:hanging="450"/>
        <w:jc w:val="both"/>
        <w:rPr>
          <w:rStyle w:val="sb8d990e2"/>
        </w:rPr>
      </w:pPr>
      <w:bookmarkStart w:id="92" w:name="_Ref403727675"/>
      <w:r w:rsidRPr="000D0C3A">
        <w:rPr>
          <w:rStyle w:val="sb8d990e2"/>
          <w:color w:val="000000"/>
          <w:lang w:val="en-GB"/>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w:t>
      </w:r>
      <w:r w:rsidRPr="000D0C3A">
        <w:t xml:space="preserve">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failure to provide family </w:t>
      </w:r>
      <w:r w:rsidRPr="000D0C3A">
        <w:lastRenderedPageBreak/>
        <w:t xml:space="preserve">members with minimum necessary information on the status of the investigation  </w:t>
      </w:r>
      <w:r w:rsidRPr="000D0C3A">
        <w:rPr>
          <w:color w:val="000000"/>
          <w:lang w:val="en-GB"/>
        </w:rPr>
        <w:t>(compare with ECtHR,</w:t>
      </w:r>
      <w:r w:rsidRPr="000D0C3A">
        <w:rPr>
          <w:lang w:val="en-GB"/>
        </w:rPr>
        <w:t xml:space="preserve"> </w:t>
      </w:r>
      <w:r w:rsidRPr="000D0C3A">
        <w:rPr>
          <w:i/>
          <w:iCs/>
        </w:rPr>
        <w:t>Aslakhanova and Others v. Russia</w:t>
      </w:r>
      <w:r w:rsidRPr="000D0C3A">
        <w:rPr>
          <w:color w:val="000000"/>
          <w:lang w:val="en-GB"/>
        </w:rPr>
        <w:t xml:space="preserve">, </w:t>
      </w:r>
      <w:r w:rsidRPr="000D0C3A">
        <w:t>cited in</w:t>
      </w:r>
      <w:r w:rsidRPr="000D0C3A">
        <w:rPr>
          <w:color w:val="000000"/>
          <w:lang w:val="en-GB"/>
        </w:rPr>
        <w:t xml:space="preserve"> § </w:t>
      </w:r>
      <w:r w:rsidR="0037719A">
        <w:fldChar w:fldCharType="begin"/>
      </w:r>
      <w:r w:rsidR="0037719A">
        <w:instrText xml:space="preserve"> REF _Ref342300077 \r \h  \* MERGEFORMAT </w:instrText>
      </w:r>
      <w:r w:rsidR="0037719A">
        <w:fldChar w:fldCharType="separate"/>
      </w:r>
      <w:r w:rsidR="00A35759" w:rsidRPr="00A35759">
        <w:rPr>
          <w:color w:val="000000"/>
          <w:lang w:val="en-GB"/>
        </w:rPr>
        <w:t>162</w:t>
      </w:r>
      <w:r w:rsidR="0037719A">
        <w:fldChar w:fldCharType="end"/>
      </w:r>
      <w:r w:rsidRPr="000D0C3A">
        <w:rPr>
          <w:color w:val="000000"/>
          <w:lang w:val="en-GB"/>
        </w:rPr>
        <w:t xml:space="preserve"> above, at § 123). The Panel also records systemic failures such as a deficient system of setting investigative priorities and lack of proper </w:t>
      </w:r>
      <w:r w:rsidRPr="00DF00BD">
        <w:rPr>
          <w:color w:val="000000"/>
          <w:lang w:val="en-GB"/>
        </w:rPr>
        <w:t>handover</w:t>
      </w:r>
      <w:r w:rsidR="00EB53B5" w:rsidRPr="00DF00BD">
        <w:rPr>
          <w:color w:val="000000"/>
          <w:lang w:val="en-GB"/>
        </w:rPr>
        <w:t xml:space="preserve"> between the investigators and/or investigative units</w:t>
      </w:r>
      <w:r w:rsidRPr="00DF00BD">
        <w:rPr>
          <w:color w:val="000000"/>
          <w:lang w:val="en-GB"/>
        </w:rPr>
        <w:t>.</w:t>
      </w:r>
      <w:r w:rsidRPr="00DF00BD">
        <w:t xml:space="preserve"> In the great majority of these cases the Panel has found that the investigations were not effective</w:t>
      </w:r>
      <w:r w:rsidRPr="000D0C3A">
        <w:t xml:space="preserve"> in the meaning of Article 2 and that UNMIK’s failures, which persisted throughout the period of the Panel’s jurisdiction, could not be justified in the light of difficulties encountered by UNMIK at the beginning of its mission.</w:t>
      </w:r>
      <w:bookmarkEnd w:id="92"/>
    </w:p>
    <w:p w:rsidR="00641D5D" w:rsidRPr="000D0C3A" w:rsidRDefault="00641D5D" w:rsidP="00BE6362">
      <w:pPr>
        <w:pStyle w:val="ColorfulList-Accent11"/>
        <w:tabs>
          <w:tab w:val="num" w:pos="450"/>
        </w:tabs>
        <w:ind w:left="450" w:hanging="450"/>
        <w:rPr>
          <w:rStyle w:val="sb8d990e2"/>
          <w:lang w:val="en-GB"/>
        </w:rPr>
      </w:pPr>
    </w:p>
    <w:p w:rsidR="00F0530E" w:rsidRPr="000D0C3A" w:rsidRDefault="00F0530E" w:rsidP="00F0555D">
      <w:pPr>
        <w:pStyle w:val="ColorfulList-Accent11"/>
        <w:numPr>
          <w:ilvl w:val="0"/>
          <w:numId w:val="5"/>
        </w:numPr>
        <w:tabs>
          <w:tab w:val="num" w:pos="270"/>
        </w:tabs>
        <w:suppressAutoHyphens w:val="0"/>
        <w:ind w:left="270" w:hanging="270"/>
        <w:contextualSpacing/>
        <w:jc w:val="both"/>
        <w:rPr>
          <w:i/>
          <w:lang w:eastAsia="en-US"/>
        </w:rPr>
      </w:pPr>
      <w:r w:rsidRPr="000D0C3A">
        <w:rPr>
          <w:i/>
          <w:lang w:val="en-GB" w:eastAsia="en-US"/>
        </w:rPr>
        <w:t>Compliance</w:t>
      </w:r>
      <w:r w:rsidRPr="000D0C3A">
        <w:rPr>
          <w:i/>
          <w:lang w:eastAsia="en-US"/>
        </w:rPr>
        <w:t xml:space="preserve"> with Article 2 in the present case</w:t>
      </w:r>
    </w:p>
    <w:p w:rsidR="00245E49" w:rsidRDefault="00245E49" w:rsidP="00BE6362">
      <w:pPr>
        <w:pStyle w:val="ColorfulList-Accent11"/>
        <w:tabs>
          <w:tab w:val="num" w:pos="450"/>
        </w:tabs>
        <w:ind w:left="450" w:hanging="450"/>
        <w:rPr>
          <w:rStyle w:val="sb8d990e2"/>
          <w:lang w:val="en-GB"/>
        </w:rPr>
      </w:pPr>
    </w:p>
    <w:p w:rsidR="000B1FE4" w:rsidRPr="008A5842" w:rsidRDefault="000B1FE4" w:rsidP="000B1FE4">
      <w:pPr>
        <w:numPr>
          <w:ilvl w:val="0"/>
          <w:numId w:val="2"/>
        </w:numPr>
        <w:tabs>
          <w:tab w:val="num" w:pos="450"/>
        </w:tabs>
        <w:autoSpaceDE w:val="0"/>
        <w:ind w:left="450" w:hanging="450"/>
        <w:jc w:val="both"/>
        <w:rPr>
          <w:bCs/>
          <w:lang w:val="en-GB"/>
        </w:rPr>
      </w:pPr>
      <w:bookmarkStart w:id="93" w:name="_Ref404697035"/>
      <w:r w:rsidRPr="00E95BB8">
        <w:t xml:space="preserve">Turning to the circumstances of the present case, the Panel notes that UNMIK certainly became aware of the </w:t>
      </w:r>
      <w:r w:rsidR="00E95BB8" w:rsidRPr="00E95BB8">
        <w:t xml:space="preserve">abduction and disappearance of </w:t>
      </w:r>
      <w:r w:rsidR="00DF22D2">
        <w:t xml:space="preserve">the </w:t>
      </w:r>
      <w:proofErr w:type="spellStart"/>
      <w:r w:rsidRPr="00E95BB8">
        <w:t>Šutaković</w:t>
      </w:r>
      <w:proofErr w:type="spellEnd"/>
      <w:r w:rsidRPr="00E95BB8">
        <w:t xml:space="preserve"> family by September </w:t>
      </w:r>
      <w:r w:rsidRPr="00DF22D2">
        <w:t>2002 (see §</w:t>
      </w:r>
      <w:r w:rsidR="00215AAA" w:rsidRPr="00DF22D2">
        <w:t xml:space="preserve">§ </w:t>
      </w:r>
      <w:r w:rsidR="002B1686">
        <w:fldChar w:fldCharType="begin"/>
      </w:r>
      <w:r w:rsidR="008D52F2">
        <w:instrText xml:space="preserve"> REF _Ref406572195 \r \h </w:instrText>
      </w:r>
      <w:r w:rsidR="002B1686">
        <w:fldChar w:fldCharType="separate"/>
      </w:r>
      <w:r w:rsidR="00A35759">
        <w:t>69</w:t>
      </w:r>
      <w:r w:rsidR="002B1686">
        <w:fldChar w:fldCharType="end"/>
      </w:r>
      <w:r w:rsidR="00215AAA" w:rsidRPr="00DF22D2">
        <w:t xml:space="preserve"> and</w:t>
      </w:r>
      <w:r w:rsidRPr="00DF22D2">
        <w:t xml:space="preserve"> </w:t>
      </w:r>
      <w:r w:rsidR="0037719A">
        <w:fldChar w:fldCharType="begin"/>
      </w:r>
      <w:r w:rsidR="0037719A">
        <w:instrText xml:space="preserve"> REF _Ref404679178 \r \h  \* MERGEFORMAT </w:instrText>
      </w:r>
      <w:r w:rsidR="0037719A">
        <w:fldChar w:fldCharType="separate"/>
      </w:r>
      <w:r w:rsidR="00A35759" w:rsidRPr="00A35759">
        <w:rPr>
          <w:lang w:val="en-GB"/>
        </w:rPr>
        <w:t>70</w:t>
      </w:r>
      <w:r w:rsidR="0037719A">
        <w:fldChar w:fldCharType="end"/>
      </w:r>
      <w:r w:rsidRPr="00DF22D2">
        <w:rPr>
          <w:lang w:val="en-GB"/>
        </w:rPr>
        <w:t xml:space="preserve"> above), of </w:t>
      </w:r>
      <w:r w:rsidRPr="00DF22D2">
        <w:t xml:space="preserve">Mr </w:t>
      </w:r>
      <w:proofErr w:type="spellStart"/>
      <w:r w:rsidRPr="00DF22D2">
        <w:t>Milenko</w:t>
      </w:r>
      <w:proofErr w:type="spellEnd"/>
      <w:r w:rsidRPr="00DF22D2">
        <w:t xml:space="preserve"> </w:t>
      </w:r>
      <w:proofErr w:type="spellStart"/>
      <w:r w:rsidRPr="00DF22D2">
        <w:t>Kabaš</w:t>
      </w:r>
      <w:proofErr w:type="spellEnd"/>
      <w:r w:rsidR="00E95BB8" w:rsidRPr="00DF22D2">
        <w:t xml:space="preserve"> by </w:t>
      </w:r>
      <w:r w:rsidR="00E95BB8" w:rsidRPr="00DF22D2">
        <w:rPr>
          <w:lang w:val="en-GB"/>
        </w:rPr>
        <w:t>March 2001</w:t>
      </w:r>
      <w:r w:rsidR="00E95BB8" w:rsidRPr="00DF22D2">
        <w:t xml:space="preserve"> (see § </w:t>
      </w:r>
      <w:r w:rsidR="0037719A">
        <w:fldChar w:fldCharType="begin"/>
      </w:r>
      <w:r w:rsidR="0037719A">
        <w:instrText xml:space="preserve"> REF _Ref404679558 \r \h  \* MERGEFORMAT </w:instrText>
      </w:r>
      <w:r w:rsidR="0037719A">
        <w:fldChar w:fldCharType="separate"/>
      </w:r>
      <w:r w:rsidR="00A35759">
        <w:t>75</w:t>
      </w:r>
      <w:r w:rsidR="0037719A">
        <w:fldChar w:fldCharType="end"/>
      </w:r>
      <w:r w:rsidR="00E95BB8" w:rsidRPr="00DF22D2">
        <w:t xml:space="preserve"> above) and of </w:t>
      </w:r>
      <w:r w:rsidRPr="00DF22D2">
        <w:rPr>
          <w:lang w:val="en-GB"/>
        </w:rPr>
        <w:t xml:space="preserve">Mr </w:t>
      </w:r>
      <w:r w:rsidR="00E95BB8" w:rsidRPr="00DF22D2">
        <w:rPr>
          <w:lang w:val="en-GB"/>
        </w:rPr>
        <w:t xml:space="preserve">and Mrs </w:t>
      </w:r>
      <w:proofErr w:type="spellStart"/>
      <w:r w:rsidRPr="00DF22D2">
        <w:rPr>
          <w:lang w:val="en-GB"/>
        </w:rPr>
        <w:t>Petrović</w:t>
      </w:r>
      <w:proofErr w:type="spellEnd"/>
      <w:r w:rsidRPr="00DF22D2">
        <w:rPr>
          <w:bCs/>
          <w:lang w:val="en-GB"/>
        </w:rPr>
        <w:t xml:space="preserve"> by May 200</w:t>
      </w:r>
      <w:r w:rsidR="00E95BB8" w:rsidRPr="00DF22D2">
        <w:rPr>
          <w:bCs/>
          <w:lang w:val="en-GB"/>
        </w:rPr>
        <w:t>0</w:t>
      </w:r>
      <w:r w:rsidRPr="00DF22D2">
        <w:rPr>
          <w:bCs/>
          <w:lang w:val="en-GB"/>
        </w:rPr>
        <w:t xml:space="preserve"> (see § </w:t>
      </w:r>
      <w:r w:rsidR="0037719A">
        <w:fldChar w:fldCharType="begin"/>
      </w:r>
      <w:r w:rsidR="0037719A">
        <w:instrText xml:space="preserve"> REF _Ref404679473 \r \h  \* MERGEFORMAT </w:instrText>
      </w:r>
      <w:r w:rsidR="0037719A">
        <w:fldChar w:fldCharType="separate"/>
      </w:r>
      <w:r w:rsidR="00A35759" w:rsidRPr="00A35759">
        <w:rPr>
          <w:bCs/>
          <w:lang w:val="en-GB"/>
        </w:rPr>
        <w:t>89</w:t>
      </w:r>
      <w:r w:rsidR="0037719A">
        <w:fldChar w:fldCharType="end"/>
      </w:r>
      <w:r w:rsidRPr="00DF22D2">
        <w:rPr>
          <w:bCs/>
          <w:lang w:val="en-GB"/>
        </w:rPr>
        <w:t xml:space="preserve"> above)</w:t>
      </w:r>
      <w:r w:rsidRPr="00DF22D2">
        <w:t xml:space="preserve">. </w:t>
      </w:r>
      <w:r w:rsidR="00DF22D2" w:rsidRPr="00DF22D2">
        <w:t xml:space="preserve">For </w:t>
      </w:r>
      <w:r w:rsidR="00E95BB8" w:rsidRPr="00DF22D2">
        <w:t>his part, t</w:t>
      </w:r>
      <w:r w:rsidRPr="00DF22D2">
        <w:t>he SRSG does not</w:t>
      </w:r>
      <w:r w:rsidRPr="00E95BB8">
        <w:t xml:space="preserve"> dispute that UNMIK was obliged to </w:t>
      </w:r>
      <w:r w:rsidRPr="004F6CE9">
        <w:t xml:space="preserve">investigate </w:t>
      </w:r>
      <w:r w:rsidR="00E95BB8" w:rsidRPr="004F6CE9">
        <w:t xml:space="preserve">their </w:t>
      </w:r>
      <w:r w:rsidRPr="004F6CE9">
        <w:t>disappearance</w:t>
      </w:r>
      <w:r w:rsidR="00E95BB8" w:rsidRPr="004F6CE9">
        <w:t>s</w:t>
      </w:r>
      <w:r w:rsidRPr="004F6CE9">
        <w:t>.</w:t>
      </w:r>
      <w:bookmarkEnd w:id="93"/>
    </w:p>
    <w:p w:rsidR="008A5842" w:rsidRPr="008A5842" w:rsidRDefault="008A5842" w:rsidP="008A5842">
      <w:pPr>
        <w:autoSpaceDE w:val="0"/>
        <w:ind w:left="450"/>
        <w:jc w:val="both"/>
        <w:rPr>
          <w:bCs/>
          <w:lang w:val="en-GB"/>
        </w:rPr>
      </w:pPr>
    </w:p>
    <w:p w:rsidR="008A5842" w:rsidRPr="00215AAA" w:rsidRDefault="008A5842" w:rsidP="000B1FE4">
      <w:pPr>
        <w:numPr>
          <w:ilvl w:val="0"/>
          <w:numId w:val="2"/>
        </w:numPr>
        <w:tabs>
          <w:tab w:val="num" w:pos="450"/>
        </w:tabs>
        <w:autoSpaceDE w:val="0"/>
        <w:ind w:left="450" w:hanging="450"/>
        <w:jc w:val="both"/>
        <w:rPr>
          <w:bCs/>
          <w:lang w:val="en-GB"/>
        </w:rPr>
      </w:pPr>
      <w:r w:rsidRPr="00215AAA">
        <w:t xml:space="preserve">The Panel would also </w:t>
      </w:r>
      <w:r w:rsidR="007C682E" w:rsidRPr="00215AAA">
        <w:t>make clear</w:t>
      </w:r>
      <w:r w:rsidRPr="00215AAA">
        <w:t xml:space="preserve"> that the investigative documents </w:t>
      </w:r>
      <w:r w:rsidR="00DF22D2">
        <w:t>in its possession</w:t>
      </w:r>
      <w:r w:rsidRPr="00215AAA">
        <w:t xml:space="preserve"> suggest that </w:t>
      </w:r>
      <w:r w:rsidR="00DF22D2">
        <w:t xml:space="preserve">the </w:t>
      </w:r>
      <w:r w:rsidRPr="00215AAA">
        <w:t xml:space="preserve">missing relatives of the complainants have been abducted by the same group of KLA members </w:t>
      </w:r>
      <w:r w:rsidR="00DF22D2">
        <w:t xml:space="preserve">at </w:t>
      </w:r>
      <w:r w:rsidRPr="00215AAA">
        <w:t xml:space="preserve">around the same time and from the same location. Likewise, it is clear that at least by the end of 2003, UNMIK Police WCIU had joined all these cases into one investigation (see § </w:t>
      </w:r>
      <w:r w:rsidR="0037719A">
        <w:fldChar w:fldCharType="begin"/>
      </w:r>
      <w:r w:rsidR="0037719A">
        <w:instrText xml:space="preserve"> REF _Ref404698375 \r \h  \* MERGEFORMAT </w:instrText>
      </w:r>
      <w:r w:rsidR="0037719A">
        <w:fldChar w:fldCharType="separate"/>
      </w:r>
      <w:r w:rsidR="00A35759">
        <w:t>100</w:t>
      </w:r>
      <w:r w:rsidR="0037719A">
        <w:fldChar w:fldCharType="end"/>
      </w:r>
      <w:r w:rsidRPr="00215AAA">
        <w:t xml:space="preserve"> above). Thus, except for the initial periods when the cases were </w:t>
      </w:r>
      <w:r w:rsidR="009B57F6" w:rsidRPr="00215AAA">
        <w:t xml:space="preserve">investigated </w:t>
      </w:r>
      <w:r w:rsidRPr="00215AAA">
        <w:t>separate</w:t>
      </w:r>
      <w:r w:rsidR="009B57F6" w:rsidRPr="00215AAA">
        <w:t>ly</w:t>
      </w:r>
      <w:r w:rsidRPr="00215AAA">
        <w:t xml:space="preserve">, the Panel will assess the investigation into the abduction and disappearance of all of the victims in this case as </w:t>
      </w:r>
      <w:r w:rsidR="00DF22D2">
        <w:t xml:space="preserve">a single </w:t>
      </w:r>
      <w:r w:rsidRPr="00215AAA">
        <w:t>process.</w:t>
      </w:r>
    </w:p>
    <w:p w:rsidR="000B1FE4" w:rsidRPr="004F6CE9" w:rsidRDefault="000B1FE4" w:rsidP="000B1FE4">
      <w:pPr>
        <w:pStyle w:val="ColorfulList-Accent11"/>
        <w:suppressAutoHyphens w:val="0"/>
        <w:ind w:left="360"/>
        <w:contextualSpacing/>
        <w:jc w:val="both"/>
        <w:rPr>
          <w:lang w:val="en-GB" w:eastAsia="en-US"/>
        </w:rPr>
      </w:pPr>
    </w:p>
    <w:p w:rsidR="000B1FE4" w:rsidRPr="004F6CE9" w:rsidRDefault="000B1FE4" w:rsidP="000B1FE4">
      <w:pPr>
        <w:numPr>
          <w:ilvl w:val="0"/>
          <w:numId w:val="2"/>
        </w:numPr>
        <w:tabs>
          <w:tab w:val="num" w:pos="450"/>
        </w:tabs>
        <w:autoSpaceDE w:val="0"/>
        <w:ind w:left="450" w:hanging="450"/>
        <w:jc w:val="both"/>
        <w:rPr>
          <w:lang w:val="en-GB"/>
        </w:rPr>
      </w:pPr>
      <w:r w:rsidRPr="004F6CE9">
        <w:rPr>
          <w:lang w:val="en-GB"/>
        </w:rPr>
        <w:t>The purpose of t</w:t>
      </w:r>
      <w:r w:rsidR="004F6CE9">
        <w:rPr>
          <w:lang w:val="en-GB"/>
        </w:rPr>
        <w:t>hese</w:t>
      </w:r>
      <w:r w:rsidRPr="004F6CE9">
        <w:rPr>
          <w:lang w:val="en-GB"/>
        </w:rPr>
        <w:t xml:space="preserve"> investigation</w:t>
      </w:r>
      <w:r w:rsidR="004F6CE9">
        <w:rPr>
          <w:lang w:val="en-GB"/>
        </w:rPr>
        <w:t>s</w:t>
      </w:r>
      <w:r w:rsidRPr="004F6CE9">
        <w:rPr>
          <w:lang w:val="en-GB"/>
        </w:rPr>
        <w:t xml:space="preserve"> was to </w:t>
      </w:r>
      <w:r w:rsidRPr="004F6CE9">
        <w:rPr>
          <w:lang w:val="en-GB" w:eastAsia="en-GB"/>
        </w:rPr>
        <w:t xml:space="preserve">discover the truth about the events leading to the abduction and disappearance </w:t>
      </w:r>
      <w:r w:rsidRPr="004F6CE9">
        <w:rPr>
          <w:bCs/>
          <w:lang w:val="en-GB"/>
        </w:rPr>
        <w:t>of the complainants</w:t>
      </w:r>
      <w:r w:rsidR="004F6CE9">
        <w:rPr>
          <w:bCs/>
          <w:lang w:val="en-GB"/>
        </w:rPr>
        <w:t>’</w:t>
      </w:r>
      <w:r w:rsidRPr="004F6CE9">
        <w:rPr>
          <w:bCs/>
          <w:lang w:val="en-GB"/>
        </w:rPr>
        <w:t xml:space="preserve"> </w:t>
      </w:r>
      <w:r w:rsidR="004F6CE9">
        <w:rPr>
          <w:bCs/>
          <w:lang w:val="en-GB"/>
        </w:rPr>
        <w:t>relatives</w:t>
      </w:r>
      <w:r w:rsidRPr="004F6CE9">
        <w:t xml:space="preserve">, to establish </w:t>
      </w:r>
      <w:r w:rsidR="004F6CE9">
        <w:t xml:space="preserve">their </w:t>
      </w:r>
      <w:r w:rsidRPr="004F6CE9">
        <w:t xml:space="preserve">fate </w:t>
      </w:r>
      <w:r w:rsidRPr="004F6CE9">
        <w:rPr>
          <w:lang w:val="en-GB"/>
        </w:rPr>
        <w:t>and to identify the perpetrators</w:t>
      </w:r>
      <w:r w:rsidRPr="004F6CE9">
        <w:rPr>
          <w:lang w:val="en-GB" w:eastAsia="en-GB"/>
        </w:rPr>
        <w:t xml:space="preserve">. To </w:t>
      </w:r>
      <w:r w:rsidRPr="004F6CE9">
        <w:rPr>
          <w:bCs/>
          <w:lang w:val="en-GB"/>
        </w:rPr>
        <w:t>fulfil</w:t>
      </w:r>
      <w:r w:rsidRPr="004F6CE9">
        <w:rPr>
          <w:lang w:val="en-GB" w:eastAsia="en-GB"/>
        </w:rPr>
        <w:t xml:space="preserve"> these purposes, those conducting the investigation</w:t>
      </w:r>
      <w:r w:rsidR="004F6CE9">
        <w:rPr>
          <w:lang w:val="en-GB" w:eastAsia="en-GB"/>
        </w:rPr>
        <w:t>s</w:t>
      </w:r>
      <w:r w:rsidRPr="004F6CE9">
        <w:rPr>
          <w:lang w:val="en-GB" w:eastAsia="en-GB"/>
        </w:rPr>
        <w:t xml:space="preserve"> were required to seek, collect and preserve evidentiary material; to identify possible </w:t>
      </w:r>
      <w:r w:rsidRPr="004F6CE9">
        <w:rPr>
          <w:lang w:val="en-GB"/>
        </w:rPr>
        <w:t>witnesses</w:t>
      </w:r>
      <w:r w:rsidRPr="004F6CE9">
        <w:rPr>
          <w:lang w:val="en-GB" w:eastAsia="en-GB"/>
        </w:rPr>
        <w:t xml:space="preserve"> and to obtain their statements; to identify the perpetrator(s) and bring them before a competent court established by law.</w:t>
      </w:r>
    </w:p>
    <w:p w:rsidR="000B1FE4" w:rsidRPr="004F6CE9" w:rsidRDefault="000B1FE4" w:rsidP="000B1FE4">
      <w:pPr>
        <w:pStyle w:val="ColorfulList-Accent11"/>
        <w:rPr>
          <w:lang w:val="en-GB"/>
        </w:rPr>
      </w:pPr>
    </w:p>
    <w:p w:rsidR="000B1FE4" w:rsidRPr="004F6CE9" w:rsidRDefault="000B1FE4" w:rsidP="000B1FE4">
      <w:pPr>
        <w:numPr>
          <w:ilvl w:val="0"/>
          <w:numId w:val="2"/>
        </w:numPr>
        <w:tabs>
          <w:tab w:val="num" w:pos="450"/>
        </w:tabs>
        <w:autoSpaceDE w:val="0"/>
        <w:ind w:left="450" w:hanging="450"/>
        <w:jc w:val="both"/>
        <w:rPr>
          <w:lang w:val="en-GB" w:eastAsia="en-GB"/>
        </w:rPr>
      </w:pPr>
      <w:bookmarkStart w:id="94" w:name="_Ref374115041"/>
      <w:r w:rsidRPr="004F6CE9">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4F6CE9">
        <w:rPr>
          <w:i/>
          <w:lang w:val="en-GB" w:eastAsia="en-GB"/>
        </w:rPr>
        <w:t>inter alia</w:t>
      </w:r>
      <w:r w:rsidRPr="004F6CE9">
        <w:rPr>
          <w:lang w:val="en-GB" w:eastAsia="en-GB"/>
        </w:rPr>
        <w:t xml:space="preserve"> eye-witness </w:t>
      </w:r>
      <w:r w:rsidRPr="004F6CE9">
        <w:rPr>
          <w:lang w:val="en-GB"/>
        </w:rPr>
        <w:t>testimony</w:t>
      </w:r>
      <w:r w:rsidRPr="004F6CE9">
        <w:rPr>
          <w:lang w:val="en-GB" w:eastAsia="en-GB"/>
        </w:rPr>
        <w:t xml:space="preserve">, forensic evidence etc. The investigation must also ensure a sufficient element of public scrutiny and be reasonably </w:t>
      </w:r>
      <w:r w:rsidRPr="004F6CE9">
        <w:rPr>
          <w:lang w:val="en-GB"/>
        </w:rPr>
        <w:t>accessible to the victim’s family. T</w:t>
      </w:r>
      <w:r w:rsidRPr="004F6CE9">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w:t>
      </w:r>
      <w:r w:rsidRPr="004F6CE9">
        <w:t>of</w:t>
      </w:r>
      <w:r w:rsidRPr="004F6CE9">
        <w:rPr>
          <w:lang w:val="en-GB" w:eastAsia="en-GB"/>
        </w:rPr>
        <w:t xml:space="preserve"> the investigative work must be taken into consideration </w:t>
      </w:r>
      <w:r w:rsidRPr="004F6CE9">
        <w:rPr>
          <w:bCs/>
          <w:lang w:val="en-GB"/>
        </w:rPr>
        <w:t>(see §</w:t>
      </w:r>
      <w:r w:rsidR="004F6CE9">
        <w:rPr>
          <w:bCs/>
          <w:lang w:val="en-GB"/>
        </w:rPr>
        <w:t xml:space="preserve">§ </w:t>
      </w:r>
      <w:r w:rsidR="002B1686">
        <w:rPr>
          <w:bCs/>
          <w:lang w:val="en-GB"/>
        </w:rPr>
        <w:fldChar w:fldCharType="begin"/>
      </w:r>
      <w:r w:rsidR="004F6CE9">
        <w:rPr>
          <w:bCs/>
          <w:lang w:val="en-GB"/>
        </w:rPr>
        <w:instrText xml:space="preserve"> </w:instrText>
      </w:r>
      <w:r w:rsidR="0078377B">
        <w:rPr>
          <w:bCs/>
          <w:lang w:val="en-GB"/>
        </w:rPr>
        <w:instrText>REF</w:instrText>
      </w:r>
      <w:r w:rsidR="004F6CE9">
        <w:rPr>
          <w:bCs/>
          <w:lang w:val="en-GB"/>
        </w:rPr>
        <w:instrText xml:space="preserve"> _Ref346724174 \r \h </w:instrText>
      </w:r>
      <w:r w:rsidR="002B1686">
        <w:rPr>
          <w:bCs/>
          <w:lang w:val="en-GB"/>
        </w:rPr>
      </w:r>
      <w:r w:rsidR="002B1686">
        <w:rPr>
          <w:bCs/>
          <w:lang w:val="en-GB"/>
        </w:rPr>
        <w:fldChar w:fldCharType="separate"/>
      </w:r>
      <w:r w:rsidR="00A35759">
        <w:rPr>
          <w:bCs/>
          <w:lang w:val="en-GB"/>
        </w:rPr>
        <w:t>159</w:t>
      </w:r>
      <w:r w:rsidR="002B1686">
        <w:rPr>
          <w:bCs/>
          <w:lang w:val="en-GB"/>
        </w:rPr>
        <w:fldChar w:fldCharType="end"/>
      </w:r>
      <w:r w:rsidR="004F6CE9">
        <w:rPr>
          <w:bCs/>
          <w:lang w:val="en-GB"/>
        </w:rPr>
        <w:t xml:space="preserve"> - </w:t>
      </w:r>
      <w:r w:rsidR="002B1686">
        <w:rPr>
          <w:bCs/>
          <w:lang w:val="en-GB"/>
        </w:rPr>
        <w:fldChar w:fldCharType="begin"/>
      </w:r>
      <w:r w:rsidR="004F6CE9">
        <w:rPr>
          <w:bCs/>
          <w:lang w:val="en-GB"/>
        </w:rPr>
        <w:instrText xml:space="preserve"> </w:instrText>
      </w:r>
      <w:r w:rsidR="0078377B">
        <w:rPr>
          <w:bCs/>
          <w:lang w:val="en-GB"/>
        </w:rPr>
        <w:instrText>REF</w:instrText>
      </w:r>
      <w:r w:rsidR="004F6CE9">
        <w:rPr>
          <w:bCs/>
          <w:lang w:val="en-GB"/>
        </w:rPr>
        <w:instrText xml:space="preserve"> _Ref398312896 \r \h </w:instrText>
      </w:r>
      <w:r w:rsidR="002B1686">
        <w:rPr>
          <w:bCs/>
          <w:lang w:val="en-GB"/>
        </w:rPr>
      </w:r>
      <w:r w:rsidR="002B1686">
        <w:rPr>
          <w:bCs/>
          <w:lang w:val="en-GB"/>
        </w:rPr>
        <w:fldChar w:fldCharType="separate"/>
      </w:r>
      <w:r w:rsidR="00A35759">
        <w:rPr>
          <w:bCs/>
          <w:lang w:val="en-GB"/>
        </w:rPr>
        <w:t>163</w:t>
      </w:r>
      <w:r w:rsidR="002B1686">
        <w:rPr>
          <w:bCs/>
          <w:lang w:val="en-GB"/>
        </w:rPr>
        <w:fldChar w:fldCharType="end"/>
      </w:r>
      <w:r w:rsidRPr="004F6CE9">
        <w:rPr>
          <w:bCs/>
          <w:lang w:val="en-GB"/>
        </w:rPr>
        <w:t xml:space="preserve"> above).</w:t>
      </w:r>
      <w:bookmarkEnd w:id="94"/>
    </w:p>
    <w:p w:rsidR="000B1FE4" w:rsidRPr="000B1FE4" w:rsidRDefault="000B1FE4" w:rsidP="000B1FE4">
      <w:pPr>
        <w:pStyle w:val="ColorfulList-Accent11"/>
        <w:rPr>
          <w:color w:val="FF0000"/>
          <w:lang w:val="en-GB"/>
        </w:rPr>
      </w:pPr>
    </w:p>
    <w:p w:rsidR="000B1FE4" w:rsidRPr="00EB1F94" w:rsidRDefault="000B1FE4" w:rsidP="000B1FE4">
      <w:pPr>
        <w:numPr>
          <w:ilvl w:val="0"/>
          <w:numId w:val="2"/>
        </w:numPr>
        <w:tabs>
          <w:tab w:val="left" w:pos="709"/>
        </w:tabs>
        <w:suppressAutoHyphens/>
        <w:autoSpaceDE w:val="0"/>
        <w:ind w:left="450" w:hanging="450"/>
        <w:jc w:val="both"/>
      </w:pPr>
      <w:r w:rsidRPr="00EB1F94">
        <w:t xml:space="preserve">The Panel </w:t>
      </w:r>
      <w:r w:rsidRPr="00EB1F94">
        <w:rPr>
          <w:lang w:val="en-GB" w:eastAsia="en-GB"/>
        </w:rPr>
        <w:t>notes</w:t>
      </w:r>
      <w:r w:rsidRPr="00EB1F94">
        <w:t xml:space="preserve"> that according to the 2000 Annual Report of UNMIK Police, </w:t>
      </w:r>
      <w:r w:rsidR="00EB1F94">
        <w:t xml:space="preserve">by June 2000 it assumed “the complete executive policing powers” </w:t>
      </w:r>
      <w:r w:rsidRPr="00EB1F94">
        <w:t xml:space="preserve">in </w:t>
      </w:r>
      <w:proofErr w:type="spellStart"/>
      <w:r w:rsidR="00EB1F94">
        <w:t>Pej</w:t>
      </w:r>
      <w:proofErr w:type="spellEnd"/>
      <w:r w:rsidR="00EB1F94">
        <w:rPr>
          <w:lang w:val="ru-RU"/>
        </w:rPr>
        <w:t>ё</w:t>
      </w:r>
      <w:r w:rsidR="00EB1F94">
        <w:t>/</w:t>
      </w:r>
      <w:r w:rsidRPr="00EB1F94">
        <w:t>P</w:t>
      </w:r>
      <w:r w:rsidR="00EB1F94">
        <w:t>eć</w:t>
      </w:r>
      <w:r w:rsidRPr="00EB1F94">
        <w:t xml:space="preserve"> region. According to the </w:t>
      </w:r>
      <w:r w:rsidRPr="00EB1F94">
        <w:lastRenderedPageBreak/>
        <w:t>statistical data, by 31 August 2000, UNMIK Police had 3,980 officers deployed throughout Kosovo, while by the end of September 2000 this number became 4,145</w:t>
      </w:r>
      <w:r w:rsidRPr="00EB1F94">
        <w:rPr>
          <w:rStyle w:val="FootnoteReference"/>
        </w:rPr>
        <w:footnoteReference w:id="21"/>
      </w:r>
      <w:r w:rsidRPr="00EB1F94">
        <w:t xml:space="preserve">. Therefore, it was UNMIK’s responsibility to ensure, </w:t>
      </w:r>
      <w:r w:rsidRPr="00EB1F94">
        <w:rPr>
          <w:i/>
        </w:rPr>
        <w:t>first</w:t>
      </w:r>
      <w:r w:rsidRPr="00EB1F94">
        <w:t xml:space="preserve">, that the investigation is conducted expeditiously and efficiently; </w:t>
      </w:r>
      <w:r w:rsidRPr="00EB1F94">
        <w:rPr>
          <w:i/>
        </w:rPr>
        <w:t>second</w:t>
      </w:r>
      <w:r w:rsidRPr="00EB1F94">
        <w:t xml:space="preserve">, that all relevant investigative material is properly handed over to the authority taking over responsibility for the investigation (EULEX); and </w:t>
      </w:r>
      <w:r w:rsidRPr="00EB1F94">
        <w:rPr>
          <w:i/>
        </w:rPr>
        <w:t>third</w:t>
      </w:r>
      <w:r w:rsidRPr="00EB1F94">
        <w:t>, that the investigative files could be traced and retrieved, should a need for that arise at any later stage.</w:t>
      </w:r>
    </w:p>
    <w:p w:rsidR="000B1FE4" w:rsidRPr="00EB1F94" w:rsidRDefault="000B1FE4" w:rsidP="000B1FE4">
      <w:pPr>
        <w:pStyle w:val="ColorfulList-Accent11"/>
      </w:pPr>
    </w:p>
    <w:p w:rsidR="000B1FE4" w:rsidRPr="00DF00BD" w:rsidRDefault="000B1FE4" w:rsidP="000B1FE4">
      <w:pPr>
        <w:numPr>
          <w:ilvl w:val="0"/>
          <w:numId w:val="2"/>
        </w:numPr>
        <w:tabs>
          <w:tab w:val="left" w:pos="709"/>
        </w:tabs>
        <w:suppressAutoHyphens/>
        <w:autoSpaceDE w:val="0"/>
        <w:ind w:left="450" w:hanging="450"/>
        <w:jc w:val="both"/>
      </w:pPr>
      <w:r w:rsidRPr="00EB1F94">
        <w:t xml:space="preserve">Having noted the SRSG’s assertion that the file submitted to the Panel may be incomplete, </w:t>
      </w:r>
      <w:r w:rsidRPr="00DF22D2">
        <w:t xml:space="preserve">and the lack of further explanation in relation to this (see § </w:t>
      </w:r>
      <w:r w:rsidR="0037719A">
        <w:fldChar w:fldCharType="begin"/>
      </w:r>
      <w:r w:rsidR="0037719A">
        <w:instrText xml:space="preserve"> REF _Ref367285538 \r \h  \* MERGEFORMAT </w:instrText>
      </w:r>
      <w:r w:rsidR="0037719A">
        <w:fldChar w:fldCharType="separate"/>
      </w:r>
      <w:r w:rsidR="00A35759">
        <w:t>147</w:t>
      </w:r>
      <w:r w:rsidR="0037719A">
        <w:fldChar w:fldCharType="end"/>
      </w:r>
      <w:r w:rsidRPr="00DF22D2">
        <w:t xml:space="preserve"> and </w:t>
      </w:r>
      <w:r w:rsidR="0037719A">
        <w:fldChar w:fldCharType="begin"/>
      </w:r>
      <w:r w:rsidR="0037719A">
        <w:instrText xml:space="preserve"> REF _Ref373945461 \r \h  \* MERGEFORMAT </w:instrText>
      </w:r>
      <w:r w:rsidR="0037719A">
        <w:fldChar w:fldCharType="separate"/>
      </w:r>
      <w:r w:rsidR="00A35759">
        <w:t>153</w:t>
      </w:r>
      <w:r w:rsidR="0037719A">
        <w:fldChar w:fldCharType="end"/>
      </w:r>
      <w:r w:rsidR="003E4DAF" w:rsidRPr="00DF22D2">
        <w:t xml:space="preserve"> a</w:t>
      </w:r>
      <w:r w:rsidRPr="00DF22D2">
        <w:t>bove), the Panel</w:t>
      </w:r>
      <w:r w:rsidRPr="00EB1F94">
        <w:t xml:space="preserve"> assumes that UNMIK cannot guarantee whether the file presented to the Panel is complete or not. In case it </w:t>
      </w:r>
      <w:r w:rsidRPr="00DF00BD">
        <w:t xml:space="preserve">is not complete, it would indicate that one of the following situations may have occurred: no proper investigation was carried out; the file was not accurately and fully handed over to </w:t>
      </w:r>
      <w:r w:rsidRPr="00DF00BD">
        <w:rPr>
          <w:lang w:val="en-GB"/>
        </w:rPr>
        <w:t>EULEX</w:t>
      </w:r>
      <w:r w:rsidRPr="00DF00BD">
        <w:t>; or UNMIK failed to retrieve the complete file from the current custodian.</w:t>
      </w:r>
    </w:p>
    <w:p w:rsidR="000B1FE4" w:rsidRPr="00DF00BD" w:rsidRDefault="000B1FE4" w:rsidP="000B1FE4">
      <w:pPr>
        <w:pStyle w:val="ColorfulList-Accent11"/>
      </w:pPr>
    </w:p>
    <w:p w:rsidR="000B1FE4" w:rsidRPr="00215AAA" w:rsidRDefault="000B1FE4" w:rsidP="000B1FE4">
      <w:pPr>
        <w:numPr>
          <w:ilvl w:val="0"/>
          <w:numId w:val="2"/>
        </w:numPr>
        <w:tabs>
          <w:tab w:val="left" w:pos="709"/>
        </w:tabs>
        <w:suppressAutoHyphens/>
        <w:autoSpaceDE w:val="0"/>
        <w:ind w:left="450" w:hanging="450"/>
        <w:jc w:val="both"/>
      </w:pPr>
      <w:r w:rsidRPr="00DF00BD">
        <w:t xml:space="preserve">The Panel has already noted above that it has no reason to doubt UNMIK’s good faith in seeking to provide </w:t>
      </w:r>
      <w:r w:rsidRPr="00215AAA">
        <w:t xml:space="preserve">the complete investigative file for its review (see § </w:t>
      </w:r>
      <w:r w:rsidR="0037719A">
        <w:fldChar w:fldCharType="begin"/>
      </w:r>
      <w:r w:rsidR="0037719A">
        <w:instrText xml:space="preserve"> REF _Ref373945461 \r \h  \* MERGEFORMAT </w:instrText>
      </w:r>
      <w:r w:rsidR="0037719A">
        <w:fldChar w:fldCharType="separate"/>
      </w:r>
      <w:r w:rsidR="00A35759">
        <w:t>153</w:t>
      </w:r>
      <w:r w:rsidR="0037719A">
        <w:fldChar w:fldCharType="end"/>
      </w:r>
      <w:r w:rsidR="003E4DAF" w:rsidRPr="00215AAA">
        <w:t xml:space="preserve"> </w:t>
      </w:r>
      <w:r w:rsidRPr="00215AAA">
        <w:t xml:space="preserve">above). However, the Panel considers that whichever of these potential explanations is applicable, it </w:t>
      </w:r>
      <w:r w:rsidRPr="00215AAA">
        <w:rPr>
          <w:bCs/>
          <w:lang w:val="en-GB"/>
        </w:rPr>
        <w:t>would</w:t>
      </w:r>
      <w:r w:rsidRPr="00215AAA">
        <w:t xml:space="preserve"> indicate a failure directly attributable to UNMIK, either when it was exercising its executive functions, or in its current capacity.</w:t>
      </w:r>
      <w:r w:rsidR="000E0DF4" w:rsidRPr="00215AAA">
        <w:t xml:space="preserve"> </w:t>
      </w:r>
    </w:p>
    <w:p w:rsidR="000E0DF4" w:rsidRPr="00215AAA" w:rsidRDefault="000E0DF4" w:rsidP="000E0DF4">
      <w:pPr>
        <w:pStyle w:val="ColorfulList-Accent11"/>
      </w:pPr>
    </w:p>
    <w:p w:rsidR="000E0DF4" w:rsidRPr="00215AAA" w:rsidRDefault="000E0DF4" w:rsidP="000B1FE4">
      <w:pPr>
        <w:numPr>
          <w:ilvl w:val="0"/>
          <w:numId w:val="2"/>
        </w:numPr>
        <w:tabs>
          <w:tab w:val="left" w:pos="709"/>
        </w:tabs>
        <w:suppressAutoHyphens/>
        <w:autoSpaceDE w:val="0"/>
        <w:ind w:left="450" w:hanging="450"/>
        <w:jc w:val="both"/>
      </w:pPr>
      <w:r w:rsidRPr="00215AAA">
        <w:t xml:space="preserve">In the same context, the Panel </w:t>
      </w:r>
      <w:r w:rsidR="00D53145" w:rsidRPr="00215AAA">
        <w:t xml:space="preserve">would like to express its </w:t>
      </w:r>
      <w:r w:rsidRPr="00215AAA">
        <w:t>concern</w:t>
      </w:r>
      <w:r w:rsidR="00D53145" w:rsidRPr="00215AAA">
        <w:t xml:space="preserve"> about </w:t>
      </w:r>
      <w:r w:rsidRPr="00215AAA">
        <w:t xml:space="preserve">the fact that </w:t>
      </w:r>
      <w:r w:rsidR="00D53145" w:rsidRPr="00215AAA">
        <w:t xml:space="preserve">the </w:t>
      </w:r>
      <w:r w:rsidRPr="00215AAA">
        <w:t xml:space="preserve">KFOR in the region </w:t>
      </w:r>
      <w:r w:rsidR="00D53145" w:rsidRPr="00215AAA">
        <w:t>“</w:t>
      </w:r>
      <w:r w:rsidRPr="00215AAA">
        <w:t>West</w:t>
      </w:r>
      <w:r w:rsidR="00D53145" w:rsidRPr="00215AAA">
        <w:t>”</w:t>
      </w:r>
      <w:r w:rsidRPr="00215AAA">
        <w:t xml:space="preserve"> d</w:t>
      </w:r>
      <w:r w:rsidR="00D53145" w:rsidRPr="00215AAA">
        <w:t>oes</w:t>
      </w:r>
      <w:r w:rsidRPr="00215AAA">
        <w:t xml:space="preserve"> not have their own record of the abductions</w:t>
      </w:r>
      <w:r w:rsidR="00DF22D2">
        <w:t>,</w:t>
      </w:r>
      <w:r w:rsidRPr="00215AAA">
        <w:t xml:space="preserve"> which took place under their watch, in June 1999 and were apparently reported to them (see §§ </w:t>
      </w:r>
      <w:r w:rsidR="0037719A">
        <w:fldChar w:fldCharType="begin"/>
      </w:r>
      <w:r w:rsidR="0037719A">
        <w:instrText xml:space="preserve"> REF _Ref404778543 \r \h  \* MERGEFORMAT </w:instrText>
      </w:r>
      <w:r w:rsidR="0037719A">
        <w:fldChar w:fldCharType="separate"/>
      </w:r>
      <w:r w:rsidR="00A35759">
        <w:t>58</w:t>
      </w:r>
      <w:r w:rsidR="0037719A">
        <w:fldChar w:fldCharType="end"/>
      </w:r>
      <w:r w:rsidRPr="00215AAA">
        <w:t xml:space="preserve"> and </w:t>
      </w:r>
      <w:r w:rsidR="0037719A">
        <w:fldChar w:fldCharType="begin"/>
      </w:r>
      <w:r w:rsidR="0037719A">
        <w:instrText xml:space="preserve"> REF _Ref404707022 \r \h  \* MERGEFORMAT </w:instrText>
      </w:r>
      <w:r w:rsidR="0037719A">
        <w:fldChar w:fldCharType="separate"/>
      </w:r>
      <w:r w:rsidR="00A35759">
        <w:t>102</w:t>
      </w:r>
      <w:r w:rsidR="0037719A">
        <w:fldChar w:fldCharType="end"/>
      </w:r>
      <w:r w:rsidRPr="00215AAA">
        <w:t>).</w:t>
      </w:r>
    </w:p>
    <w:p w:rsidR="00F533F0" w:rsidRPr="00215AAA" w:rsidRDefault="00F533F0" w:rsidP="00F533F0">
      <w:pPr>
        <w:pStyle w:val="ColorfulList-Accent11"/>
      </w:pPr>
    </w:p>
    <w:p w:rsidR="00F533F0" w:rsidRPr="00EE6125" w:rsidRDefault="00F533F0" w:rsidP="00F533F0">
      <w:pPr>
        <w:numPr>
          <w:ilvl w:val="0"/>
          <w:numId w:val="2"/>
        </w:numPr>
        <w:tabs>
          <w:tab w:val="num" w:pos="450"/>
          <w:tab w:val="left" w:pos="709"/>
        </w:tabs>
        <w:suppressAutoHyphens/>
        <w:autoSpaceDE w:val="0"/>
        <w:ind w:left="450" w:hanging="450"/>
        <w:jc w:val="both"/>
        <w:rPr>
          <w:color w:val="000000"/>
        </w:rPr>
      </w:pPr>
      <w:r w:rsidRPr="00215AAA">
        <w:t xml:space="preserve">The Panel notes especially two </w:t>
      </w:r>
      <w:r w:rsidR="003E4DAF" w:rsidRPr="00215AAA">
        <w:t xml:space="preserve">above mentioned </w:t>
      </w:r>
      <w:r w:rsidRPr="00215AAA">
        <w:t xml:space="preserve">important facts related to this particular case: the response from EULEX to the Panel’s request for information (see §§ </w:t>
      </w:r>
      <w:r w:rsidR="0037719A">
        <w:fldChar w:fldCharType="begin"/>
      </w:r>
      <w:r w:rsidR="0037719A">
        <w:instrText xml:space="preserve"> REF _Ref372532143 \r \h  \* MERGEFORMAT </w:instrText>
      </w:r>
      <w:r w:rsidR="0037719A">
        <w:fldChar w:fldCharType="separate"/>
      </w:r>
      <w:r w:rsidR="00A35759">
        <w:t>84</w:t>
      </w:r>
      <w:r w:rsidR="0037719A">
        <w:fldChar w:fldCharType="end"/>
      </w:r>
      <w:r w:rsidRPr="00215AAA">
        <w:t xml:space="preserve"> - </w:t>
      </w:r>
      <w:r w:rsidR="0037719A">
        <w:fldChar w:fldCharType="begin"/>
      </w:r>
      <w:r w:rsidR="0037719A">
        <w:instrText xml:space="preserve"> REF _Ref372532225 \r \h  \* MERGEFORMAT </w:instrText>
      </w:r>
      <w:r w:rsidR="0037719A">
        <w:fldChar w:fldCharType="separate"/>
      </w:r>
      <w:r w:rsidR="00A35759">
        <w:t>86</w:t>
      </w:r>
      <w:r w:rsidR="0037719A">
        <w:fldChar w:fldCharType="end"/>
      </w:r>
      <w:r w:rsidRPr="00215AAA">
        <w:t>) and the return of some case-related</w:t>
      </w:r>
      <w:r w:rsidRPr="00215AAA">
        <w:rPr>
          <w:color w:val="000000"/>
        </w:rPr>
        <w:t xml:space="preserve"> material, from the archives at the UN Headquarters</w:t>
      </w:r>
      <w:r w:rsidRPr="00215AAA">
        <w:rPr>
          <w:color w:val="000000"/>
          <w:lang w:val="ru-RU"/>
        </w:rPr>
        <w:t xml:space="preserve"> (</w:t>
      </w:r>
      <w:r w:rsidRPr="00215AAA">
        <w:rPr>
          <w:color w:val="000000"/>
        </w:rPr>
        <w:t>see §§</w:t>
      </w:r>
      <w:r w:rsidR="003E4DAF" w:rsidRPr="00215AAA">
        <w:rPr>
          <w:color w:val="000000"/>
        </w:rPr>
        <w:t xml:space="preserve"> </w:t>
      </w:r>
      <w:r w:rsidR="0037719A">
        <w:fldChar w:fldCharType="begin"/>
      </w:r>
      <w:r w:rsidR="0037719A">
        <w:instrText xml:space="preserve"> REF _Ref404178818 \r \h  \* MERGEFORMAT </w:instrText>
      </w:r>
      <w:r w:rsidR="0037719A">
        <w:fldChar w:fldCharType="separate"/>
      </w:r>
      <w:r w:rsidR="00A35759" w:rsidRPr="00A35759">
        <w:rPr>
          <w:color w:val="000000"/>
        </w:rPr>
        <w:t>32</w:t>
      </w:r>
      <w:r w:rsidR="0037719A">
        <w:fldChar w:fldCharType="end"/>
      </w:r>
      <w:r w:rsidR="003E4DAF" w:rsidRPr="00215AAA">
        <w:rPr>
          <w:color w:val="000000"/>
        </w:rPr>
        <w:t xml:space="preserve"> - </w:t>
      </w:r>
      <w:r w:rsidR="0037719A">
        <w:fldChar w:fldCharType="begin"/>
      </w:r>
      <w:r w:rsidR="0037719A">
        <w:instrText xml:space="preserve"> REF _Ref372640476 \r \h  \* MERGEFORMAT </w:instrText>
      </w:r>
      <w:r w:rsidR="0037719A">
        <w:fldChar w:fldCharType="separate"/>
      </w:r>
      <w:r w:rsidR="00A35759" w:rsidRPr="00A35759">
        <w:rPr>
          <w:color w:val="000000"/>
        </w:rPr>
        <w:t>33</w:t>
      </w:r>
      <w:r w:rsidR="0037719A">
        <w:fldChar w:fldCharType="end"/>
      </w:r>
      <w:r w:rsidRPr="00215AAA">
        <w:rPr>
          <w:color w:val="000000"/>
        </w:rPr>
        <w:t xml:space="preserve"> and </w:t>
      </w:r>
      <w:r w:rsidR="0037719A">
        <w:fldChar w:fldCharType="begin"/>
      </w:r>
      <w:r w:rsidR="0037719A">
        <w:instrText xml:space="preserve"> REF _Ref372533237 \r \h  \* MERGEFORMAT </w:instrText>
      </w:r>
      <w:r w:rsidR="0037719A">
        <w:fldChar w:fldCharType="separate"/>
      </w:r>
      <w:r w:rsidR="00A35759" w:rsidRPr="00A35759">
        <w:rPr>
          <w:color w:val="000000"/>
        </w:rPr>
        <w:t>115</w:t>
      </w:r>
      <w:r w:rsidR="0037719A">
        <w:fldChar w:fldCharType="end"/>
      </w:r>
      <w:r w:rsidR="003E4DAF" w:rsidRPr="00215AAA">
        <w:t xml:space="preserve"> - </w:t>
      </w:r>
      <w:r w:rsidR="0037719A">
        <w:fldChar w:fldCharType="begin"/>
      </w:r>
      <w:r w:rsidR="0037719A">
        <w:instrText xml:space="preserve"> REF _Ref404694137 \r \h  \* MERGEFORMAT </w:instrText>
      </w:r>
      <w:r w:rsidR="0037719A">
        <w:fldChar w:fldCharType="separate"/>
      </w:r>
      <w:r w:rsidR="00A35759">
        <w:t>116</w:t>
      </w:r>
      <w:r w:rsidR="0037719A">
        <w:fldChar w:fldCharType="end"/>
      </w:r>
      <w:r w:rsidRPr="00215AAA">
        <w:rPr>
          <w:color w:val="000000"/>
        </w:rPr>
        <w:t>). In the</w:t>
      </w:r>
      <w:r w:rsidRPr="00EE6125">
        <w:rPr>
          <w:color w:val="000000"/>
        </w:rPr>
        <w:t xml:space="preserve"> first, EULEX informed the Panel that </w:t>
      </w:r>
      <w:r w:rsidRPr="00EE6125">
        <w:rPr>
          <w:color w:val="000000"/>
          <w:lang w:val="en-GB" w:eastAsia="en-GB"/>
        </w:rPr>
        <w:t>in July 2009 a number of cases not officially handed over from UNMIK to EULEX for various reasons were “found” in the former UNMIK DOJ building.</w:t>
      </w:r>
      <w:r w:rsidR="003E4DAF" w:rsidRPr="00EE6125">
        <w:rPr>
          <w:color w:val="000000"/>
          <w:lang w:val="en-GB" w:eastAsia="en-GB"/>
        </w:rPr>
        <w:t xml:space="preserve"> In turn, </w:t>
      </w:r>
      <w:r w:rsidRPr="00EE6125">
        <w:rPr>
          <w:color w:val="000000"/>
          <w:lang w:val="en-GB" w:eastAsia="en-GB"/>
        </w:rPr>
        <w:t>the documents returned from the UN Headquarters’ archive</w:t>
      </w:r>
      <w:r w:rsidR="003E4DAF" w:rsidRPr="00EE6125">
        <w:rPr>
          <w:color w:val="000000"/>
          <w:lang w:val="en-GB" w:eastAsia="en-GB"/>
        </w:rPr>
        <w:t xml:space="preserve">, although being the same copies as the ones returned to UNMIK by EULEX, are related to </w:t>
      </w:r>
      <w:r w:rsidR="00DF22D2" w:rsidRPr="00EE6125">
        <w:rPr>
          <w:color w:val="000000"/>
          <w:lang w:val="en-GB" w:eastAsia="en-GB"/>
        </w:rPr>
        <w:t xml:space="preserve">only </w:t>
      </w:r>
      <w:r w:rsidR="003E4DAF" w:rsidRPr="00EE6125">
        <w:rPr>
          <w:color w:val="000000"/>
          <w:lang w:val="en-GB" w:eastAsia="en-GB"/>
        </w:rPr>
        <w:t>three out of eight missing persons’ cases.</w:t>
      </w:r>
      <w:r w:rsidRPr="00EE6125">
        <w:rPr>
          <w:color w:val="000000"/>
        </w:rPr>
        <w:t xml:space="preserve"> In the Panel’s view, the</w:t>
      </w:r>
      <w:r w:rsidR="003E4DAF" w:rsidRPr="00EE6125">
        <w:rPr>
          <w:color w:val="000000"/>
        </w:rPr>
        <w:t xml:space="preserve">se facts </w:t>
      </w:r>
      <w:r w:rsidRPr="00EE6125">
        <w:rPr>
          <w:color w:val="000000"/>
        </w:rPr>
        <w:t>are particularly indicative of a possible general failure to comply with the obligation to ensure the proper handover of the investigative material</w:t>
      </w:r>
      <w:r w:rsidR="003E4DAF" w:rsidRPr="00EE6125">
        <w:rPr>
          <w:color w:val="000000"/>
        </w:rPr>
        <w:t xml:space="preserve"> </w:t>
      </w:r>
      <w:r w:rsidR="00DF22D2">
        <w:rPr>
          <w:color w:val="000000"/>
        </w:rPr>
        <w:t>so</w:t>
      </w:r>
      <w:r w:rsidR="003E4DAF" w:rsidRPr="00EE6125">
        <w:rPr>
          <w:color w:val="000000"/>
        </w:rPr>
        <w:t xml:space="preserve"> that the material </w:t>
      </w:r>
      <w:r w:rsidR="003E4DAF" w:rsidRPr="003E4DAF">
        <w:t>could be traced and</w:t>
      </w:r>
      <w:r w:rsidR="00DF22D2">
        <w:t xml:space="preserve"> subsequently</w:t>
      </w:r>
      <w:r w:rsidR="003E4DAF" w:rsidRPr="003E4DAF">
        <w:t xml:space="preserve"> retrieved.</w:t>
      </w:r>
    </w:p>
    <w:p w:rsidR="000B1FE4" w:rsidRPr="000B1FE4" w:rsidRDefault="000B1FE4" w:rsidP="000B1FE4">
      <w:pPr>
        <w:tabs>
          <w:tab w:val="left" w:pos="709"/>
        </w:tabs>
        <w:suppressAutoHyphens/>
        <w:autoSpaceDE w:val="0"/>
        <w:ind w:left="450"/>
        <w:jc w:val="both"/>
        <w:rPr>
          <w:color w:val="FF0000"/>
          <w:lang w:val="en-GB"/>
        </w:rPr>
      </w:pPr>
    </w:p>
    <w:p w:rsidR="000B1FE4" w:rsidRPr="00C5394C" w:rsidRDefault="00412837" w:rsidP="000B1FE4">
      <w:pPr>
        <w:numPr>
          <w:ilvl w:val="0"/>
          <w:numId w:val="2"/>
        </w:numPr>
        <w:tabs>
          <w:tab w:val="left" w:pos="709"/>
        </w:tabs>
        <w:suppressAutoHyphens/>
        <w:autoSpaceDE w:val="0"/>
        <w:ind w:left="450" w:hanging="450"/>
        <w:jc w:val="both"/>
        <w:rPr>
          <w:lang w:val="en-GB"/>
        </w:rPr>
      </w:pPr>
      <w:r>
        <w:rPr>
          <w:lang w:val="en-GB" w:eastAsia="en-GB"/>
        </w:rPr>
        <w:t>As far as the conduct of all these investigations is concerned, t</w:t>
      </w:r>
      <w:r w:rsidRPr="003E4DAF">
        <w:rPr>
          <w:lang w:val="en-GB" w:eastAsia="en-GB"/>
        </w:rPr>
        <w:t>he</w:t>
      </w:r>
      <w:r w:rsidRPr="003E4DAF">
        <w:rPr>
          <w:lang w:val="en-GB"/>
        </w:rPr>
        <w:t xml:space="preserve"> </w:t>
      </w:r>
      <w:r w:rsidR="000B1FE4" w:rsidRPr="003E4DAF">
        <w:rPr>
          <w:lang w:val="en-GB"/>
        </w:rPr>
        <w:t xml:space="preserve">Panel notes that there were obvious shortcomings from </w:t>
      </w:r>
      <w:r w:rsidR="003E4DAF" w:rsidRPr="003E4DAF">
        <w:rPr>
          <w:lang w:val="en-GB"/>
        </w:rPr>
        <w:t xml:space="preserve">their </w:t>
      </w:r>
      <w:r w:rsidR="000B1FE4" w:rsidRPr="003E4DAF">
        <w:rPr>
          <w:lang w:val="en-GB" w:eastAsia="en-GB"/>
        </w:rPr>
        <w:t>inception,</w:t>
      </w:r>
      <w:r w:rsidR="000B1FE4" w:rsidRPr="003E4DAF">
        <w:rPr>
          <w:lang w:val="en-GB"/>
        </w:rPr>
        <w:t xml:space="preserve"> having in mind that </w:t>
      </w:r>
      <w:r w:rsidR="000B1FE4" w:rsidRPr="003E4DAF">
        <w:rPr>
          <w:bCs/>
          <w:lang w:val="en-GB"/>
        </w:rPr>
        <w:t>the initial stage of the investigation is of the utmost importance.</w:t>
      </w:r>
      <w:r w:rsidR="000B1FE4" w:rsidRPr="003E4DAF">
        <w:rPr>
          <w:lang w:val="en-GB"/>
        </w:rPr>
        <w:t xml:space="preserve"> </w:t>
      </w:r>
      <w:r w:rsidR="000B1FE4" w:rsidRPr="00C5394C">
        <w:rPr>
          <w:lang w:val="en-GB"/>
        </w:rPr>
        <w:t xml:space="preserve">However, in light of the considerations developed above concerning its limited temporal jurisdiction (see § </w:t>
      </w:r>
      <w:r w:rsidR="0037719A">
        <w:fldChar w:fldCharType="begin"/>
      </w:r>
      <w:r w:rsidR="0037719A">
        <w:instrText xml:space="preserve"> REF _Ref401157497 \r \h  \* MERGEFORMAT </w:instrText>
      </w:r>
      <w:r w:rsidR="0037719A">
        <w:fldChar w:fldCharType="separate"/>
      </w:r>
      <w:r w:rsidR="00A35759" w:rsidRPr="00A35759">
        <w:rPr>
          <w:lang w:val="en-GB"/>
        </w:rPr>
        <w:t>124</w:t>
      </w:r>
      <w:r w:rsidR="0037719A">
        <w:fldChar w:fldCharType="end"/>
      </w:r>
      <w:r w:rsidR="003E4DAF" w:rsidRPr="00C5394C">
        <w:rPr>
          <w:lang w:val="en-GB"/>
        </w:rPr>
        <w:t xml:space="preserve"> </w:t>
      </w:r>
      <w:r w:rsidR="000B1FE4" w:rsidRPr="00C5394C">
        <w:rPr>
          <w:lang w:val="en-GB"/>
        </w:rPr>
        <w:t xml:space="preserve">above), the Panel recalls that it </w:t>
      </w:r>
      <w:r w:rsidR="000B1FE4" w:rsidRPr="00C5394C">
        <w:rPr>
          <w:lang w:val="en-GB"/>
        </w:rPr>
        <w:lastRenderedPageBreak/>
        <w:t xml:space="preserve">is competent </w:t>
      </w:r>
      <w:r w:rsidR="000B1FE4" w:rsidRPr="00C5394C">
        <w:rPr>
          <w:i/>
          <w:lang w:val="en-GB"/>
        </w:rPr>
        <w:t>ratione temporis</w:t>
      </w:r>
      <w:r w:rsidR="000B1FE4" w:rsidRPr="00C5394C">
        <w:rPr>
          <w:lang w:val="en-GB"/>
        </w:rPr>
        <w:t xml:space="preserve"> to evaluate the compliance of the investigation with Article 2 of the ECHR only for the period after 23 April 2005, while taking into consideration the state of the case at that date (see ECtHR, </w:t>
      </w:r>
      <w:r w:rsidR="000B1FE4" w:rsidRPr="00C5394C">
        <w:rPr>
          <w:i/>
        </w:rPr>
        <w:t>Palić v. Bosnia and Herzegovina,</w:t>
      </w:r>
      <w:r w:rsidR="000B1FE4" w:rsidRPr="00C5394C">
        <w:t xml:space="preserve"> cited in § </w:t>
      </w:r>
      <w:r w:rsidR="0037719A">
        <w:fldChar w:fldCharType="begin"/>
      </w:r>
      <w:r w:rsidR="0037719A">
        <w:instrText xml:space="preserve"> REF _Ref346724174 \r \h  \* MERGEFORMAT </w:instrText>
      </w:r>
      <w:r w:rsidR="0037719A">
        <w:fldChar w:fldCharType="separate"/>
      </w:r>
      <w:r w:rsidR="00A35759">
        <w:t>159</w:t>
      </w:r>
      <w:r w:rsidR="0037719A">
        <w:fldChar w:fldCharType="end"/>
      </w:r>
      <w:r w:rsidR="000B1FE4" w:rsidRPr="00C5394C">
        <w:t xml:space="preserve"> above, at § 70</w:t>
      </w:r>
      <w:r w:rsidR="000B1FE4" w:rsidRPr="00C5394C">
        <w:rPr>
          <w:lang w:val="en-GB"/>
        </w:rPr>
        <w:t xml:space="preserve">). The period under review ends on 9 December 2008, with EULEX taking over responsibility in the area of administration of justice (see § </w:t>
      </w:r>
      <w:r w:rsidR="0037719A">
        <w:fldChar w:fldCharType="begin"/>
      </w:r>
      <w:r w:rsidR="0037719A">
        <w:instrText xml:space="preserve"> REF _Ref401243163 \r \h  \* MERGEFORMAT </w:instrText>
      </w:r>
      <w:r w:rsidR="0037719A">
        <w:fldChar w:fldCharType="separate"/>
      </w:r>
      <w:r w:rsidR="00A35759" w:rsidRPr="00A35759">
        <w:rPr>
          <w:lang w:val="en-GB"/>
        </w:rPr>
        <w:t>47</w:t>
      </w:r>
      <w:r w:rsidR="0037719A">
        <w:fldChar w:fldCharType="end"/>
      </w:r>
      <w:r w:rsidR="003E4DAF" w:rsidRPr="00C5394C">
        <w:rPr>
          <w:lang w:val="en-GB"/>
        </w:rPr>
        <w:t xml:space="preserve"> </w:t>
      </w:r>
      <w:r w:rsidR="000B1FE4" w:rsidRPr="00C5394C">
        <w:rPr>
          <w:lang w:val="en-GB"/>
        </w:rPr>
        <w:t>above).</w:t>
      </w:r>
    </w:p>
    <w:p w:rsidR="000B1FE4" w:rsidRPr="00DF00BD" w:rsidRDefault="000B1FE4" w:rsidP="000B1FE4">
      <w:pPr>
        <w:pStyle w:val="ColorfulList-Accent11"/>
        <w:rPr>
          <w:bCs/>
          <w:lang w:val="en-GB"/>
        </w:rPr>
      </w:pPr>
    </w:p>
    <w:p w:rsidR="000B1FE4" w:rsidRPr="00DF00BD" w:rsidRDefault="000B1FE4" w:rsidP="000B1FE4">
      <w:pPr>
        <w:numPr>
          <w:ilvl w:val="0"/>
          <w:numId w:val="2"/>
        </w:numPr>
        <w:tabs>
          <w:tab w:val="left" w:pos="709"/>
        </w:tabs>
        <w:suppressAutoHyphens/>
        <w:autoSpaceDE w:val="0"/>
        <w:ind w:left="450" w:hanging="450"/>
        <w:jc w:val="both"/>
        <w:rPr>
          <w:lang w:val="en-GB"/>
        </w:rPr>
      </w:pPr>
      <w:r w:rsidRPr="003E4DAF">
        <w:t>With</w:t>
      </w:r>
      <w:r w:rsidRPr="003E4DAF">
        <w:rPr>
          <w:bCs/>
          <w:lang w:val="en-GB"/>
        </w:rPr>
        <w:t xml:space="preserve"> </w:t>
      </w:r>
      <w:r w:rsidRPr="003E4DAF">
        <w:rPr>
          <w:lang w:val="en-GB"/>
        </w:rPr>
        <w:t>regard</w:t>
      </w:r>
      <w:r w:rsidRPr="003E4DAF">
        <w:rPr>
          <w:bCs/>
          <w:lang w:val="en-GB"/>
        </w:rPr>
        <w:t xml:space="preserve"> to the first part of the </w:t>
      </w:r>
      <w:r w:rsidRPr="003E4DAF">
        <w:rPr>
          <w:lang w:val="en-GB"/>
        </w:rPr>
        <w:t>procedural</w:t>
      </w:r>
      <w:r w:rsidRPr="003E4DAF">
        <w:rPr>
          <w:bCs/>
          <w:lang w:val="en-GB"/>
        </w:rPr>
        <w:t xml:space="preserve"> obligation, that is locating the mortal remains of </w:t>
      </w:r>
      <w:r w:rsidR="003E4DAF" w:rsidRPr="003E4DAF">
        <w:rPr>
          <w:bCs/>
          <w:lang w:val="en-GB"/>
        </w:rPr>
        <w:t>the complainants’ relatives,</w:t>
      </w:r>
      <w:r w:rsidRPr="003E4DAF">
        <w:t xml:space="preserve"> the</w:t>
      </w:r>
      <w:r w:rsidRPr="003E4DAF">
        <w:rPr>
          <w:lang w:val="en-GB"/>
        </w:rPr>
        <w:t xml:space="preserve"> Panel notes that </w:t>
      </w:r>
      <w:r w:rsidR="003E4DAF" w:rsidRPr="003E4DAF">
        <w:rPr>
          <w:bCs/>
          <w:lang w:val="en-GB"/>
        </w:rPr>
        <w:t>their</w:t>
      </w:r>
      <w:r w:rsidRPr="003E4DAF">
        <w:rPr>
          <w:bCs/>
          <w:lang w:val="en-GB"/>
        </w:rPr>
        <w:t xml:space="preserve"> </w:t>
      </w:r>
      <w:r w:rsidRPr="003E4DAF">
        <w:t>whereabouts</w:t>
      </w:r>
      <w:r w:rsidRPr="003E4DAF">
        <w:rPr>
          <w:bCs/>
          <w:lang w:val="en-GB"/>
        </w:rPr>
        <w:t xml:space="preserve"> remain unknown. The </w:t>
      </w:r>
      <w:r w:rsidR="003E4DAF" w:rsidRPr="003E4DAF">
        <w:rPr>
          <w:bCs/>
          <w:lang w:val="en-GB"/>
        </w:rPr>
        <w:t xml:space="preserve">relevant </w:t>
      </w:r>
      <w:r w:rsidRPr="003E4DAF">
        <w:rPr>
          <w:bCs/>
          <w:lang w:val="en-GB"/>
        </w:rPr>
        <w:t>ICMP database entr</w:t>
      </w:r>
      <w:r w:rsidR="003E4DAF" w:rsidRPr="003E4DAF">
        <w:rPr>
          <w:bCs/>
          <w:lang w:val="en-GB"/>
        </w:rPr>
        <w:t xml:space="preserve">ies show </w:t>
      </w:r>
      <w:r w:rsidRPr="003E4DAF">
        <w:rPr>
          <w:bCs/>
          <w:lang w:val="en-GB"/>
        </w:rPr>
        <w:t>that</w:t>
      </w:r>
      <w:r w:rsidR="003E4DAF" w:rsidRPr="003E4DAF">
        <w:rPr>
          <w:bCs/>
          <w:lang w:val="en-GB"/>
        </w:rPr>
        <w:t xml:space="preserve"> sufficient </w:t>
      </w:r>
      <w:r w:rsidRPr="003E4DAF">
        <w:rPr>
          <w:bCs/>
          <w:lang w:val="en-GB"/>
        </w:rPr>
        <w:t>DNA samples had been collected</w:t>
      </w:r>
      <w:r w:rsidR="003E4DAF" w:rsidRPr="003E4DAF">
        <w:rPr>
          <w:bCs/>
          <w:lang w:val="en-GB"/>
        </w:rPr>
        <w:t xml:space="preserve"> only for Mr </w:t>
      </w:r>
      <w:proofErr w:type="spellStart"/>
      <w:r w:rsidR="003E4DAF" w:rsidRPr="003E4DAF">
        <w:rPr>
          <w:bCs/>
          <w:lang w:val="en-GB"/>
        </w:rPr>
        <w:t>Nedeljko</w:t>
      </w:r>
      <w:proofErr w:type="spellEnd"/>
      <w:r w:rsidR="003E4DAF" w:rsidRPr="003E4DAF">
        <w:rPr>
          <w:bCs/>
          <w:lang w:val="en-GB"/>
        </w:rPr>
        <w:t xml:space="preserve"> </w:t>
      </w:r>
      <w:proofErr w:type="spellStart"/>
      <w:r w:rsidR="003E4DAF" w:rsidRPr="003E4DAF">
        <w:rPr>
          <w:bCs/>
          <w:lang w:val="en-GB"/>
        </w:rPr>
        <w:t>Sutaković</w:t>
      </w:r>
      <w:proofErr w:type="spellEnd"/>
      <w:r w:rsidR="003E4DAF" w:rsidRPr="003E4DAF">
        <w:rPr>
          <w:bCs/>
          <w:lang w:val="en-GB"/>
        </w:rPr>
        <w:t xml:space="preserve"> </w:t>
      </w:r>
      <w:r w:rsidR="003E4DAF" w:rsidRPr="00DF00BD">
        <w:rPr>
          <w:bCs/>
          <w:lang w:val="en-GB"/>
        </w:rPr>
        <w:t xml:space="preserve">(see § </w:t>
      </w:r>
      <w:r w:rsidR="0037719A">
        <w:fldChar w:fldCharType="begin"/>
      </w:r>
      <w:r w:rsidR="0037719A">
        <w:instrText xml:space="preserve"> REF _Ref404694678 \r \h  \* MERGEFORMAT </w:instrText>
      </w:r>
      <w:r w:rsidR="0037719A">
        <w:fldChar w:fldCharType="separate"/>
      </w:r>
      <w:r w:rsidR="00A35759" w:rsidRPr="00A35759">
        <w:rPr>
          <w:bCs/>
          <w:lang w:val="en-GB"/>
        </w:rPr>
        <w:t>53</w:t>
      </w:r>
      <w:r w:rsidR="0037719A">
        <w:fldChar w:fldCharType="end"/>
      </w:r>
      <w:r w:rsidR="003E4DAF" w:rsidRPr="00DF00BD">
        <w:rPr>
          <w:bCs/>
          <w:lang w:val="en-GB"/>
        </w:rPr>
        <w:t xml:space="preserve"> above), Mr </w:t>
      </w:r>
      <w:proofErr w:type="spellStart"/>
      <w:r w:rsidR="003E4DAF" w:rsidRPr="00DF00BD">
        <w:rPr>
          <w:bCs/>
          <w:lang w:val="en-GB"/>
        </w:rPr>
        <w:t>Mića</w:t>
      </w:r>
      <w:proofErr w:type="spellEnd"/>
      <w:r w:rsidR="003E4DAF" w:rsidRPr="00DF00BD">
        <w:rPr>
          <w:bCs/>
          <w:lang w:val="en-GB"/>
        </w:rPr>
        <w:t xml:space="preserve"> </w:t>
      </w:r>
      <w:proofErr w:type="spellStart"/>
      <w:r w:rsidR="003E4DAF" w:rsidRPr="00DF00BD">
        <w:rPr>
          <w:bCs/>
          <w:lang w:val="en-GB"/>
        </w:rPr>
        <w:t>Petrović</w:t>
      </w:r>
      <w:proofErr w:type="spellEnd"/>
      <w:r w:rsidR="003E4DAF" w:rsidRPr="00DF00BD">
        <w:rPr>
          <w:bCs/>
          <w:lang w:val="en-GB"/>
        </w:rPr>
        <w:t xml:space="preserve"> and Mrs Radmila </w:t>
      </w:r>
      <w:proofErr w:type="spellStart"/>
      <w:r w:rsidR="003E4DAF" w:rsidRPr="00DF00BD">
        <w:rPr>
          <w:bCs/>
          <w:lang w:val="en-GB"/>
        </w:rPr>
        <w:t>Petrović</w:t>
      </w:r>
      <w:proofErr w:type="spellEnd"/>
      <w:r w:rsidRPr="00DF00BD">
        <w:t xml:space="preserve"> (see § </w:t>
      </w:r>
      <w:r w:rsidR="0037719A">
        <w:fldChar w:fldCharType="begin"/>
      </w:r>
      <w:r w:rsidR="0037719A">
        <w:instrText xml:space="preserve"> REF _Ref404694863 \r \h  \* MERGEFORMAT </w:instrText>
      </w:r>
      <w:r w:rsidR="0037719A">
        <w:fldChar w:fldCharType="separate"/>
      </w:r>
      <w:r w:rsidR="00A35759">
        <w:t>66</w:t>
      </w:r>
      <w:r w:rsidR="0037719A">
        <w:fldChar w:fldCharType="end"/>
      </w:r>
      <w:r w:rsidR="003E4DAF" w:rsidRPr="00DF00BD">
        <w:t xml:space="preserve"> </w:t>
      </w:r>
      <w:r w:rsidRPr="00DF00BD">
        <w:t xml:space="preserve">above). </w:t>
      </w:r>
      <w:r w:rsidR="003E4DAF" w:rsidRPr="00DF00BD">
        <w:t>T</w:t>
      </w:r>
      <w:r w:rsidR="003E4DAF" w:rsidRPr="00DF00BD">
        <w:rPr>
          <w:lang w:val="en-GB"/>
        </w:rPr>
        <w:t xml:space="preserve">he </w:t>
      </w:r>
      <w:r w:rsidRPr="00DF00BD">
        <w:rPr>
          <w:lang w:val="en-GB"/>
        </w:rPr>
        <w:t xml:space="preserve">ante-mortem details </w:t>
      </w:r>
      <w:r w:rsidR="003E4DAF" w:rsidRPr="00DF00BD">
        <w:rPr>
          <w:lang w:val="en-GB"/>
        </w:rPr>
        <w:t xml:space="preserve">for </w:t>
      </w:r>
      <w:r w:rsidRPr="00DF00BD">
        <w:rPr>
          <w:lang w:val="en-GB"/>
        </w:rPr>
        <w:t>complainant</w:t>
      </w:r>
      <w:r w:rsidR="003E4DAF" w:rsidRPr="00DF00BD">
        <w:rPr>
          <w:lang w:val="en-GB"/>
        </w:rPr>
        <w:t>s’</w:t>
      </w:r>
      <w:r w:rsidRPr="00DF00BD">
        <w:rPr>
          <w:lang w:val="en-GB"/>
        </w:rPr>
        <w:t xml:space="preserve"> missing </w:t>
      </w:r>
      <w:r w:rsidR="003E4DAF" w:rsidRPr="00DF00BD">
        <w:rPr>
          <w:lang w:val="en-GB"/>
        </w:rPr>
        <w:t xml:space="preserve">relatives </w:t>
      </w:r>
      <w:r w:rsidRPr="00DF00BD">
        <w:rPr>
          <w:lang w:val="en-GB"/>
        </w:rPr>
        <w:t>had been gathered by the ICRC.</w:t>
      </w:r>
    </w:p>
    <w:p w:rsidR="000B1FE4" w:rsidRPr="00DF00BD" w:rsidRDefault="000B1FE4" w:rsidP="000B1FE4">
      <w:pPr>
        <w:pStyle w:val="ColorfulList-Accent11"/>
        <w:rPr>
          <w:lang w:val="en-GB"/>
        </w:rPr>
      </w:pPr>
    </w:p>
    <w:p w:rsidR="00EB1431" w:rsidRPr="009C1EAD" w:rsidRDefault="000B1FE4" w:rsidP="00EB1431">
      <w:pPr>
        <w:numPr>
          <w:ilvl w:val="0"/>
          <w:numId w:val="2"/>
        </w:numPr>
        <w:tabs>
          <w:tab w:val="left" w:pos="709"/>
        </w:tabs>
        <w:suppressAutoHyphens/>
        <w:autoSpaceDE w:val="0"/>
        <w:ind w:left="450" w:hanging="450"/>
        <w:jc w:val="both"/>
        <w:rPr>
          <w:lang w:val="en-GB"/>
        </w:rPr>
      </w:pPr>
      <w:r w:rsidRPr="00DF00BD">
        <w:t xml:space="preserve">In this respect, the Panel </w:t>
      </w:r>
      <w:r w:rsidR="008103F1" w:rsidRPr="00DF00BD">
        <w:t xml:space="preserve">recalls </w:t>
      </w:r>
      <w:r w:rsidRPr="00DF00BD">
        <w:t xml:space="preserve">that the collection of the DNA samples is of itself an essential action that secures the necessary material for any future comparative examination and possible </w:t>
      </w:r>
      <w:r w:rsidRPr="00DF00BD">
        <w:rPr>
          <w:bCs/>
          <w:lang w:val="en-GB"/>
        </w:rPr>
        <w:t>identification</w:t>
      </w:r>
      <w:r w:rsidRPr="00DF00BD">
        <w:t xml:space="preserve"> of </w:t>
      </w:r>
      <w:r w:rsidRPr="00DF00BD">
        <w:rPr>
          <w:lang w:val="en-GB"/>
        </w:rPr>
        <w:t>located</w:t>
      </w:r>
      <w:r w:rsidRPr="00DF00BD">
        <w:t xml:space="preserve"> mortal remains.</w:t>
      </w:r>
      <w:r w:rsidR="00CF7FBE" w:rsidRPr="00DF00BD">
        <w:t xml:space="preserve"> However, in the cases of </w:t>
      </w:r>
      <w:r w:rsidR="00CF7FBE" w:rsidRPr="00DF00BD">
        <w:rPr>
          <w:bCs/>
          <w:lang w:val="en-GB"/>
        </w:rPr>
        <w:t xml:space="preserve">Mr </w:t>
      </w:r>
      <w:proofErr w:type="spellStart"/>
      <w:r w:rsidR="00CF7FBE" w:rsidRPr="00DF00BD">
        <w:rPr>
          <w:bCs/>
          <w:lang w:val="en-GB"/>
        </w:rPr>
        <w:t>Nedeljko</w:t>
      </w:r>
      <w:proofErr w:type="spellEnd"/>
      <w:r w:rsidR="00CF7FBE" w:rsidRPr="00DF00BD">
        <w:rPr>
          <w:bCs/>
          <w:lang w:val="en-GB"/>
        </w:rPr>
        <w:t xml:space="preserve"> </w:t>
      </w:r>
      <w:proofErr w:type="spellStart"/>
      <w:r w:rsidR="00CF7FBE" w:rsidRPr="00DF00BD">
        <w:rPr>
          <w:bCs/>
          <w:lang w:val="en-GB"/>
        </w:rPr>
        <w:t>Sutaković</w:t>
      </w:r>
      <w:proofErr w:type="spellEnd"/>
      <w:r w:rsidR="00CF7FBE" w:rsidRPr="00DF00BD">
        <w:rPr>
          <w:bCs/>
          <w:lang w:val="en-GB"/>
        </w:rPr>
        <w:t xml:space="preserve"> and Mr and Mrs </w:t>
      </w:r>
      <w:proofErr w:type="spellStart"/>
      <w:r w:rsidR="00CF7FBE" w:rsidRPr="00DF00BD">
        <w:rPr>
          <w:bCs/>
          <w:lang w:val="en-GB"/>
        </w:rPr>
        <w:t>Petrović</w:t>
      </w:r>
      <w:proofErr w:type="spellEnd"/>
      <w:r w:rsidR="00CF7FBE" w:rsidRPr="00DF00BD">
        <w:t xml:space="preserve">, no such identification has yet occurred. </w:t>
      </w:r>
      <w:r w:rsidR="009C1EAD">
        <w:t>Moreover</w:t>
      </w:r>
      <w:r w:rsidR="00CF7FBE" w:rsidRPr="00DF00BD">
        <w:t xml:space="preserve">, in the cases of Mrs </w:t>
      </w:r>
      <w:proofErr w:type="spellStart"/>
      <w:r w:rsidR="00CF7FBE" w:rsidRPr="00DF00BD">
        <w:t>Darinka</w:t>
      </w:r>
      <w:proofErr w:type="spellEnd"/>
      <w:r w:rsidR="00CF7FBE" w:rsidRPr="00DF00BD">
        <w:t xml:space="preserve"> </w:t>
      </w:r>
      <w:proofErr w:type="spellStart"/>
      <w:r w:rsidR="00CF7FBE" w:rsidRPr="00DF00BD">
        <w:t>Šutaković</w:t>
      </w:r>
      <w:proofErr w:type="spellEnd"/>
      <w:r w:rsidR="00CF7FBE" w:rsidRPr="00DF00BD">
        <w:t xml:space="preserve">, Mr </w:t>
      </w:r>
      <w:r w:rsidR="00CF7FBE" w:rsidRPr="009C1EAD">
        <w:t xml:space="preserve">Radovan </w:t>
      </w:r>
      <w:proofErr w:type="spellStart"/>
      <w:r w:rsidR="00CF7FBE" w:rsidRPr="009C1EAD">
        <w:t>Šutaković</w:t>
      </w:r>
      <w:proofErr w:type="spellEnd"/>
      <w:r w:rsidR="00CF7FBE" w:rsidRPr="009C1EAD">
        <w:t xml:space="preserve">, Mr </w:t>
      </w:r>
      <w:proofErr w:type="spellStart"/>
      <w:r w:rsidR="00CF7FBE" w:rsidRPr="009C1EAD">
        <w:t>Ðorđe</w:t>
      </w:r>
      <w:proofErr w:type="spellEnd"/>
      <w:r w:rsidR="00CF7FBE" w:rsidRPr="009C1EAD">
        <w:t xml:space="preserve"> </w:t>
      </w:r>
      <w:proofErr w:type="spellStart"/>
      <w:r w:rsidR="00CF7FBE" w:rsidRPr="009C1EAD">
        <w:t>Šutaković</w:t>
      </w:r>
      <w:proofErr w:type="spellEnd"/>
      <w:r w:rsidR="00CF7FBE" w:rsidRPr="009C1EAD">
        <w:t xml:space="preserve">, Mr </w:t>
      </w:r>
      <w:proofErr w:type="spellStart"/>
      <w:r w:rsidR="00CF7FBE" w:rsidRPr="009C1EAD">
        <w:t>Aleksandar</w:t>
      </w:r>
      <w:proofErr w:type="spellEnd"/>
      <w:r w:rsidR="00CF7FBE" w:rsidRPr="009C1EAD">
        <w:t xml:space="preserve"> </w:t>
      </w:r>
      <w:proofErr w:type="spellStart"/>
      <w:r w:rsidR="00CF7FBE" w:rsidRPr="009C1EAD">
        <w:t>Šutaković</w:t>
      </w:r>
      <w:proofErr w:type="spellEnd"/>
      <w:r w:rsidR="00CF7FBE" w:rsidRPr="009C1EAD">
        <w:t xml:space="preserve"> and Mr </w:t>
      </w:r>
      <w:proofErr w:type="spellStart"/>
      <w:r w:rsidR="00CF7FBE" w:rsidRPr="009C1EAD">
        <w:t>Milenko</w:t>
      </w:r>
      <w:proofErr w:type="spellEnd"/>
      <w:r w:rsidR="00CF7FBE" w:rsidRPr="009C1EAD">
        <w:t xml:space="preserve"> </w:t>
      </w:r>
      <w:proofErr w:type="spellStart"/>
      <w:r w:rsidR="00CF7FBE" w:rsidRPr="009C1EAD">
        <w:t>Kabaš</w:t>
      </w:r>
      <w:proofErr w:type="spellEnd"/>
      <w:r w:rsidR="00CF7FBE" w:rsidRPr="009C1EAD">
        <w:t xml:space="preserve"> such samples have still not been collected, fifteen years after they were </w:t>
      </w:r>
      <w:r w:rsidR="00CF7FBE" w:rsidRPr="009C1EAD">
        <w:rPr>
          <w:bCs/>
          <w:lang w:val="en-GB"/>
        </w:rPr>
        <w:t>abducted.</w:t>
      </w:r>
    </w:p>
    <w:p w:rsidR="00CF7FBE" w:rsidRPr="009C1EAD" w:rsidRDefault="00CF7FBE" w:rsidP="00CF7FBE">
      <w:pPr>
        <w:pStyle w:val="ColorfulList-Accent11"/>
      </w:pPr>
    </w:p>
    <w:p w:rsidR="00CA291B" w:rsidRPr="009C1EAD" w:rsidRDefault="00CF7FBE" w:rsidP="00CA291B">
      <w:pPr>
        <w:numPr>
          <w:ilvl w:val="0"/>
          <w:numId w:val="2"/>
        </w:numPr>
        <w:tabs>
          <w:tab w:val="left" w:pos="709"/>
        </w:tabs>
        <w:suppressAutoHyphens/>
        <w:autoSpaceDE w:val="0"/>
        <w:ind w:left="450" w:hanging="450"/>
        <w:jc w:val="both"/>
      </w:pPr>
      <w:r w:rsidRPr="009C1EAD">
        <w:t xml:space="preserve">The Panel notes </w:t>
      </w:r>
      <w:r w:rsidR="00CA291B" w:rsidRPr="009C1EAD">
        <w:t xml:space="preserve">in this respect a clarification provided on 19 November 2014 by the EULEX Department of Forensic Medicine, in relation to the </w:t>
      </w:r>
      <w:r w:rsidR="009259FD" w:rsidRPr="009C1EAD">
        <w:t xml:space="preserve">lack DNA samples for the three missing sons </w:t>
      </w:r>
      <w:r w:rsidR="00CA291B" w:rsidRPr="009C1EAD">
        <w:t xml:space="preserve">of </w:t>
      </w:r>
      <w:r w:rsidR="009259FD" w:rsidRPr="009C1EAD">
        <w:t xml:space="preserve">Mr </w:t>
      </w:r>
      <w:proofErr w:type="spellStart"/>
      <w:r w:rsidR="009259FD" w:rsidRPr="009C1EAD">
        <w:t>Nedeljko</w:t>
      </w:r>
      <w:proofErr w:type="spellEnd"/>
      <w:r w:rsidR="009259FD" w:rsidRPr="009C1EAD">
        <w:t xml:space="preserve"> </w:t>
      </w:r>
      <w:proofErr w:type="spellStart"/>
      <w:r w:rsidR="009259FD" w:rsidRPr="009C1EAD">
        <w:t>Šutaković</w:t>
      </w:r>
      <w:proofErr w:type="spellEnd"/>
      <w:r w:rsidR="009259FD" w:rsidRPr="009C1EAD">
        <w:t xml:space="preserve"> and Mrs </w:t>
      </w:r>
      <w:proofErr w:type="spellStart"/>
      <w:r w:rsidR="009259FD" w:rsidRPr="009C1EAD">
        <w:t>Darinka</w:t>
      </w:r>
      <w:proofErr w:type="spellEnd"/>
      <w:r w:rsidR="009259FD" w:rsidRPr="009C1EAD">
        <w:t xml:space="preserve"> </w:t>
      </w:r>
      <w:proofErr w:type="spellStart"/>
      <w:r w:rsidR="00CA291B" w:rsidRPr="009C1EAD">
        <w:t>Šutaković</w:t>
      </w:r>
      <w:proofErr w:type="spellEnd"/>
      <w:r w:rsidR="00CA291B" w:rsidRPr="009C1EAD">
        <w:t xml:space="preserve">. According to their expert, the only source of DNA samples for the children are their parents. In this particular case, </w:t>
      </w:r>
      <w:r w:rsidR="009259FD" w:rsidRPr="009C1EAD">
        <w:t>it is a</w:t>
      </w:r>
      <w:r w:rsidR="00CA291B" w:rsidRPr="009C1EAD">
        <w:t xml:space="preserve"> DNA sample of Mr </w:t>
      </w:r>
      <w:proofErr w:type="spellStart"/>
      <w:r w:rsidR="00CA291B" w:rsidRPr="009C1EAD">
        <w:t>Nedeljko</w:t>
      </w:r>
      <w:proofErr w:type="spellEnd"/>
      <w:r w:rsidR="00CA291B" w:rsidRPr="009C1EAD">
        <w:t xml:space="preserve"> </w:t>
      </w:r>
      <w:proofErr w:type="spellStart"/>
      <w:r w:rsidR="00CA291B" w:rsidRPr="009C1EAD">
        <w:t>Šutaković</w:t>
      </w:r>
      <w:proofErr w:type="spellEnd"/>
      <w:r w:rsidR="00CA291B" w:rsidRPr="009C1EAD">
        <w:t xml:space="preserve"> </w:t>
      </w:r>
      <w:r w:rsidR="009259FD" w:rsidRPr="009C1EAD">
        <w:t xml:space="preserve">that </w:t>
      </w:r>
      <w:r w:rsidR="00CA291B" w:rsidRPr="009C1EAD">
        <w:t>must be collected to enable the DNA identification of his three sons</w:t>
      </w:r>
      <w:r w:rsidR="009259FD" w:rsidRPr="009C1EAD">
        <w:t>. Thus, until he (or his mortal remains) is found and identified, no necessary DNA samples can be collected for Mr Radovan</w:t>
      </w:r>
      <w:r w:rsidR="00DF22D2">
        <w:t xml:space="preserve"> </w:t>
      </w:r>
      <w:proofErr w:type="spellStart"/>
      <w:r w:rsidR="00DF22D2">
        <w:t>Šutaković</w:t>
      </w:r>
      <w:proofErr w:type="spellEnd"/>
      <w:r w:rsidR="00DF22D2">
        <w:t xml:space="preserve">, Mr </w:t>
      </w:r>
      <w:proofErr w:type="spellStart"/>
      <w:r w:rsidR="00DF22D2">
        <w:t>Ðorđe</w:t>
      </w:r>
      <w:proofErr w:type="spellEnd"/>
      <w:r w:rsidR="00DF22D2">
        <w:t xml:space="preserve"> </w:t>
      </w:r>
      <w:proofErr w:type="spellStart"/>
      <w:r w:rsidR="00DF22D2">
        <w:t>Šutaković</w:t>
      </w:r>
      <w:proofErr w:type="spellEnd"/>
      <w:r w:rsidR="00DF22D2">
        <w:t xml:space="preserve"> or </w:t>
      </w:r>
      <w:r w:rsidR="009259FD" w:rsidRPr="009C1EAD">
        <w:t xml:space="preserve">Mr </w:t>
      </w:r>
      <w:proofErr w:type="spellStart"/>
      <w:r w:rsidR="009259FD" w:rsidRPr="009C1EAD">
        <w:t>Aleksandar</w:t>
      </w:r>
      <w:proofErr w:type="spellEnd"/>
      <w:r w:rsidR="009259FD" w:rsidRPr="009C1EAD">
        <w:t xml:space="preserve"> </w:t>
      </w:r>
      <w:proofErr w:type="spellStart"/>
      <w:r w:rsidR="009259FD" w:rsidRPr="009C1EAD">
        <w:t>Šutaković</w:t>
      </w:r>
      <w:proofErr w:type="spellEnd"/>
      <w:r w:rsidR="009259FD" w:rsidRPr="009C1EAD">
        <w:t>.</w:t>
      </w:r>
      <w:r w:rsidR="009C1EAD">
        <w:t xml:space="preserve"> This adds to the gravity of the disappearance of children with their parents.</w:t>
      </w:r>
    </w:p>
    <w:p w:rsidR="00CA291B" w:rsidRPr="009C1EAD" w:rsidRDefault="00CA291B" w:rsidP="00CA291B">
      <w:pPr>
        <w:pStyle w:val="ColorfulList-Accent11"/>
      </w:pPr>
    </w:p>
    <w:p w:rsidR="00EB1431" w:rsidRPr="009C1EAD" w:rsidRDefault="008103F1" w:rsidP="00CF7FBE">
      <w:pPr>
        <w:numPr>
          <w:ilvl w:val="0"/>
          <w:numId w:val="2"/>
        </w:numPr>
        <w:tabs>
          <w:tab w:val="left" w:pos="709"/>
        </w:tabs>
        <w:suppressAutoHyphens/>
        <w:autoSpaceDE w:val="0"/>
        <w:ind w:left="450" w:hanging="450"/>
        <w:jc w:val="both"/>
        <w:rPr>
          <w:lang w:val="en-GB"/>
        </w:rPr>
      </w:pPr>
      <w:r w:rsidRPr="009C1EAD">
        <w:t xml:space="preserve">However, no </w:t>
      </w:r>
      <w:r w:rsidR="00CF7FBE" w:rsidRPr="009C1EAD">
        <w:t xml:space="preserve">explanation </w:t>
      </w:r>
      <w:r w:rsidR="009259FD" w:rsidRPr="009C1EAD">
        <w:t xml:space="preserve">as to why </w:t>
      </w:r>
      <w:r w:rsidR="00FE6207" w:rsidRPr="009C1EAD">
        <w:t xml:space="preserve">until now </w:t>
      </w:r>
      <w:r w:rsidR="009259FD" w:rsidRPr="009C1EAD">
        <w:t xml:space="preserve">the necessary DNA samples have not been collected for Mrs </w:t>
      </w:r>
      <w:proofErr w:type="spellStart"/>
      <w:r w:rsidR="009259FD" w:rsidRPr="009C1EAD">
        <w:t>Darinka</w:t>
      </w:r>
      <w:proofErr w:type="spellEnd"/>
      <w:r w:rsidR="009259FD" w:rsidRPr="009C1EAD">
        <w:t xml:space="preserve"> </w:t>
      </w:r>
      <w:proofErr w:type="spellStart"/>
      <w:r w:rsidR="009259FD" w:rsidRPr="009C1EAD">
        <w:t>Šutaković</w:t>
      </w:r>
      <w:proofErr w:type="spellEnd"/>
      <w:r w:rsidR="009259FD" w:rsidRPr="009C1EAD">
        <w:t xml:space="preserve"> and Mr </w:t>
      </w:r>
      <w:proofErr w:type="spellStart"/>
      <w:r w:rsidR="009259FD" w:rsidRPr="009C1EAD">
        <w:t>Milenko</w:t>
      </w:r>
      <w:proofErr w:type="spellEnd"/>
      <w:r w:rsidR="009259FD" w:rsidRPr="009C1EAD">
        <w:t xml:space="preserve"> </w:t>
      </w:r>
      <w:proofErr w:type="spellStart"/>
      <w:r w:rsidR="009259FD" w:rsidRPr="009C1EAD">
        <w:t>Kabaš</w:t>
      </w:r>
      <w:proofErr w:type="spellEnd"/>
      <w:r w:rsidR="009259FD" w:rsidRPr="009C1EAD">
        <w:t xml:space="preserve"> was provided to the Panel.</w:t>
      </w:r>
      <w:r w:rsidR="003870E4" w:rsidRPr="009C1EAD">
        <w:t xml:space="preserve"> In </w:t>
      </w:r>
      <w:r w:rsidR="003870E4" w:rsidRPr="00995206">
        <w:t>this respect, t</w:t>
      </w:r>
      <w:r w:rsidR="003870E4" w:rsidRPr="00995206">
        <w:rPr>
          <w:bCs/>
          <w:lang w:val="en-GB"/>
        </w:rPr>
        <w:t>he Panel recalls the SRSG’s concern regarding the lack of</w:t>
      </w:r>
      <w:r w:rsidR="00DF22D2" w:rsidRPr="00995206">
        <w:rPr>
          <w:bCs/>
          <w:lang w:val="en-GB"/>
        </w:rPr>
        <w:t xml:space="preserve"> a</w:t>
      </w:r>
      <w:r w:rsidR="003870E4" w:rsidRPr="00995206">
        <w:rPr>
          <w:bCs/>
          <w:lang w:val="en-GB"/>
        </w:rPr>
        <w:t xml:space="preserve"> unified approach to the identification of the mortal remains </w:t>
      </w:r>
      <w:r w:rsidR="00995206" w:rsidRPr="00995206">
        <w:rPr>
          <w:bCs/>
          <w:lang w:val="en-GB"/>
        </w:rPr>
        <w:t>in</w:t>
      </w:r>
      <w:r w:rsidR="003870E4" w:rsidRPr="00995206">
        <w:rPr>
          <w:bCs/>
          <w:lang w:val="en-GB"/>
        </w:rPr>
        <w:t xml:space="preserve"> the early years of UNMIK’s presence in Kosovo,</w:t>
      </w:r>
      <w:r w:rsidR="00EF1528" w:rsidRPr="00995206">
        <w:rPr>
          <w:bCs/>
          <w:lang w:val="en-GB"/>
        </w:rPr>
        <w:t xml:space="preserve"> and that some mortal remains “</w:t>
      </w:r>
      <w:r w:rsidR="00EF1528" w:rsidRPr="00995206">
        <w:t>were reburied in locations still unknown to OMPF”</w:t>
      </w:r>
      <w:r w:rsidR="003870E4" w:rsidRPr="00995206">
        <w:rPr>
          <w:bCs/>
          <w:lang w:val="en-GB"/>
        </w:rPr>
        <w:t xml:space="preserve"> (see §§ </w:t>
      </w:r>
      <w:r w:rsidR="0037719A">
        <w:fldChar w:fldCharType="begin"/>
      </w:r>
      <w:r w:rsidR="0037719A">
        <w:instrText xml:space="preserve"> REF _Ref404767716 \r \h  \* MERGEFORMAT </w:instrText>
      </w:r>
      <w:r w:rsidR="0037719A">
        <w:fldChar w:fldCharType="separate"/>
      </w:r>
      <w:r w:rsidR="00A35759" w:rsidRPr="00A35759">
        <w:rPr>
          <w:bCs/>
          <w:lang w:val="en-GB"/>
        </w:rPr>
        <w:t>132</w:t>
      </w:r>
      <w:r w:rsidR="0037719A">
        <w:fldChar w:fldCharType="end"/>
      </w:r>
      <w:r w:rsidR="003870E4" w:rsidRPr="00995206">
        <w:rPr>
          <w:bCs/>
          <w:lang w:val="en-GB"/>
        </w:rPr>
        <w:t xml:space="preserve"> - </w:t>
      </w:r>
      <w:r w:rsidR="0037719A">
        <w:fldChar w:fldCharType="begin"/>
      </w:r>
      <w:r w:rsidR="0037719A">
        <w:instrText xml:space="preserve"> REF _Ref404767717 \r \h  \* MERGEFORMAT </w:instrText>
      </w:r>
      <w:r w:rsidR="0037719A">
        <w:fldChar w:fldCharType="separate"/>
      </w:r>
      <w:r w:rsidR="00A35759" w:rsidRPr="00A35759">
        <w:rPr>
          <w:bCs/>
          <w:lang w:val="en-GB"/>
        </w:rPr>
        <w:t>133</w:t>
      </w:r>
      <w:r w:rsidR="0037719A">
        <w:fldChar w:fldCharType="end"/>
      </w:r>
      <w:r w:rsidR="003870E4" w:rsidRPr="00995206">
        <w:rPr>
          <w:bCs/>
          <w:lang w:val="en-GB"/>
        </w:rPr>
        <w:t xml:space="preserve"> above). However</w:t>
      </w:r>
      <w:r w:rsidR="003870E4" w:rsidRPr="009C1EAD">
        <w:rPr>
          <w:bCs/>
          <w:lang w:val="en-GB"/>
        </w:rPr>
        <w:t>, in the Panel’s view, this cannot justify the inaction of UNMIK authorities in this respect at later stages.</w:t>
      </w:r>
    </w:p>
    <w:p w:rsidR="00CF7FBE" w:rsidRPr="009C1EAD" w:rsidRDefault="00CF7FBE" w:rsidP="00CF7FBE">
      <w:pPr>
        <w:pStyle w:val="ColorfulList-Accent11"/>
        <w:rPr>
          <w:bCs/>
          <w:lang w:val="en-GB"/>
        </w:rPr>
      </w:pPr>
    </w:p>
    <w:p w:rsidR="00EB1431" w:rsidRPr="009C1EAD" w:rsidRDefault="00CF7FBE" w:rsidP="00EB1431">
      <w:pPr>
        <w:numPr>
          <w:ilvl w:val="0"/>
          <w:numId w:val="2"/>
        </w:numPr>
        <w:tabs>
          <w:tab w:val="left" w:pos="709"/>
        </w:tabs>
        <w:suppressAutoHyphens/>
        <w:autoSpaceDE w:val="0"/>
        <w:ind w:left="450" w:hanging="450"/>
        <w:jc w:val="both"/>
        <w:rPr>
          <w:bCs/>
          <w:lang w:val="en-GB"/>
        </w:rPr>
      </w:pPr>
      <w:bookmarkStart w:id="95" w:name="_Ref374618698"/>
      <w:r w:rsidRPr="009C1EAD">
        <w:rPr>
          <w:bCs/>
          <w:lang w:val="en-GB"/>
        </w:rPr>
        <w:t xml:space="preserve">It is widely accepted that the only way to have a certain identification of mortal remains after such a long </w:t>
      </w:r>
      <w:r w:rsidRPr="009C1EAD">
        <w:t>period</w:t>
      </w:r>
      <w:r w:rsidRPr="009C1EAD">
        <w:rPr>
          <w:bCs/>
          <w:lang w:val="en-GB"/>
        </w:rPr>
        <w:t xml:space="preserve"> of time would be through comparison of samples of DNA material. Thus, the collection of sufficient samples from the next-of-kin of a missing person becomes </w:t>
      </w:r>
      <w:r w:rsidRPr="009C1EAD">
        <w:t>imperative</w:t>
      </w:r>
      <w:r w:rsidRPr="009C1EAD">
        <w:rPr>
          <w:bCs/>
          <w:lang w:val="en-GB"/>
        </w:rPr>
        <w:t xml:space="preserve"> and</w:t>
      </w:r>
      <w:r w:rsidR="008103F1" w:rsidRPr="009C1EAD">
        <w:rPr>
          <w:bCs/>
          <w:lang w:val="en-GB"/>
        </w:rPr>
        <w:t>,</w:t>
      </w:r>
      <w:r w:rsidRPr="009C1EAD">
        <w:rPr>
          <w:bCs/>
          <w:lang w:val="en-GB"/>
        </w:rPr>
        <w:t xml:space="preserve"> without this</w:t>
      </w:r>
      <w:r w:rsidR="008103F1" w:rsidRPr="009C1EAD">
        <w:rPr>
          <w:bCs/>
          <w:lang w:val="en-GB"/>
        </w:rPr>
        <w:t>,</w:t>
      </w:r>
      <w:r w:rsidRPr="009C1EAD">
        <w:rPr>
          <w:bCs/>
          <w:lang w:val="en-GB"/>
        </w:rPr>
        <w:t xml:space="preserve"> the chances to establish the identity of mortal remains, if found, are very slim.</w:t>
      </w:r>
    </w:p>
    <w:p w:rsidR="00EB1431" w:rsidRPr="009C1EAD" w:rsidRDefault="00EB1431" w:rsidP="00EB1431">
      <w:pPr>
        <w:pStyle w:val="ColorfulList-Accent11"/>
        <w:rPr>
          <w:bCs/>
          <w:lang w:val="en-GB"/>
        </w:rPr>
      </w:pPr>
    </w:p>
    <w:p w:rsidR="00CF7FBE" w:rsidRPr="009C1EAD" w:rsidRDefault="00CF7FBE" w:rsidP="00FE6207">
      <w:pPr>
        <w:numPr>
          <w:ilvl w:val="0"/>
          <w:numId w:val="2"/>
        </w:numPr>
        <w:tabs>
          <w:tab w:val="left" w:pos="709"/>
        </w:tabs>
        <w:suppressAutoHyphens/>
        <w:autoSpaceDE w:val="0"/>
        <w:ind w:left="450" w:hanging="450"/>
        <w:jc w:val="both"/>
        <w:rPr>
          <w:lang w:val="en-GB"/>
        </w:rPr>
      </w:pPr>
      <w:bookmarkStart w:id="96" w:name="_Ref404768995"/>
      <w:r w:rsidRPr="009C1EAD">
        <w:rPr>
          <w:bCs/>
          <w:lang w:val="en-GB"/>
        </w:rPr>
        <w:lastRenderedPageBreak/>
        <w:t xml:space="preserve">Therefore, since the </w:t>
      </w:r>
      <w:proofErr w:type="spellStart"/>
      <w:r w:rsidRPr="009C1EAD">
        <w:rPr>
          <w:bCs/>
          <w:lang w:val="en-GB"/>
        </w:rPr>
        <w:t>ongoing</w:t>
      </w:r>
      <w:proofErr w:type="spellEnd"/>
      <w:r w:rsidRPr="009C1EAD">
        <w:rPr>
          <w:bCs/>
          <w:lang w:val="en-GB"/>
        </w:rPr>
        <w:t xml:space="preserve"> failure to collect such samples seriously undermines the possibility of identifying </w:t>
      </w:r>
      <w:r w:rsidR="00FE6207" w:rsidRPr="009C1EAD">
        <w:rPr>
          <w:bCs/>
          <w:lang w:val="en-GB"/>
        </w:rPr>
        <w:t xml:space="preserve">the </w:t>
      </w:r>
      <w:r w:rsidRPr="009C1EAD">
        <w:rPr>
          <w:bCs/>
          <w:lang w:val="en-GB"/>
        </w:rPr>
        <w:t xml:space="preserve">mortal remains </w:t>
      </w:r>
      <w:r w:rsidR="00FE6207" w:rsidRPr="009C1EAD">
        <w:rPr>
          <w:bCs/>
          <w:lang w:val="en-GB"/>
        </w:rPr>
        <w:t xml:space="preserve">of </w:t>
      </w:r>
      <w:r w:rsidR="00FE6207" w:rsidRPr="009C1EAD">
        <w:t xml:space="preserve">Mrs </w:t>
      </w:r>
      <w:proofErr w:type="spellStart"/>
      <w:r w:rsidR="00FE6207" w:rsidRPr="009C1EAD">
        <w:t>Darinka</w:t>
      </w:r>
      <w:proofErr w:type="spellEnd"/>
      <w:r w:rsidR="00FE6207" w:rsidRPr="009C1EAD">
        <w:t xml:space="preserve"> </w:t>
      </w:r>
      <w:proofErr w:type="spellStart"/>
      <w:r w:rsidR="00FE6207" w:rsidRPr="009C1EAD">
        <w:t>Šutaković</w:t>
      </w:r>
      <w:proofErr w:type="spellEnd"/>
      <w:r w:rsidR="00FE6207" w:rsidRPr="009C1EAD">
        <w:t xml:space="preserve"> and Mr </w:t>
      </w:r>
      <w:proofErr w:type="spellStart"/>
      <w:r w:rsidR="00FE6207" w:rsidRPr="009C1EAD">
        <w:t>Milenko</w:t>
      </w:r>
      <w:proofErr w:type="spellEnd"/>
      <w:r w:rsidR="00FE6207" w:rsidRPr="009C1EAD">
        <w:t xml:space="preserve"> </w:t>
      </w:r>
      <w:proofErr w:type="spellStart"/>
      <w:r w:rsidR="00FE6207" w:rsidRPr="009C1EAD">
        <w:t>Kabaš</w:t>
      </w:r>
      <w:proofErr w:type="spellEnd"/>
      <w:r w:rsidR="00FE6207" w:rsidRPr="009C1EAD">
        <w:t xml:space="preserve"> </w:t>
      </w:r>
      <w:r w:rsidRPr="009C1EAD">
        <w:rPr>
          <w:bCs/>
          <w:lang w:val="en-GB"/>
        </w:rPr>
        <w:t>(in case they have been or will be found), the Panel considers that the first part of the procedural obligat</w:t>
      </w:r>
      <w:r w:rsidR="00FE6207" w:rsidRPr="009C1EAD">
        <w:rPr>
          <w:bCs/>
          <w:lang w:val="en-GB"/>
        </w:rPr>
        <w:t xml:space="preserve">ion under Article 2 of the ECHR with respect to them </w:t>
      </w:r>
      <w:r w:rsidRPr="009C1EAD">
        <w:rPr>
          <w:bCs/>
          <w:lang w:val="en-GB"/>
        </w:rPr>
        <w:t xml:space="preserve">is not satisfied (compare with the Panel’s approach in the case </w:t>
      </w:r>
      <w:proofErr w:type="spellStart"/>
      <w:r w:rsidR="00F74AE2" w:rsidRPr="009C1EAD">
        <w:rPr>
          <w:bCs/>
          <w:i/>
          <w:lang w:val="en-GB"/>
        </w:rPr>
        <w:t>Buljević</w:t>
      </w:r>
      <w:proofErr w:type="spellEnd"/>
      <w:r w:rsidRPr="009C1EAD">
        <w:rPr>
          <w:bCs/>
          <w:lang w:val="en-GB"/>
        </w:rPr>
        <w:t xml:space="preserve">, no. </w:t>
      </w:r>
      <w:r w:rsidR="00F74AE2" w:rsidRPr="009C1EAD">
        <w:rPr>
          <w:bCs/>
          <w:lang w:val="en-GB"/>
        </w:rPr>
        <w:t>146</w:t>
      </w:r>
      <w:r w:rsidRPr="009C1EAD">
        <w:rPr>
          <w:bCs/>
          <w:lang w:val="en-GB"/>
        </w:rPr>
        <w:t>/09, opinion of 1</w:t>
      </w:r>
      <w:r w:rsidR="00F74AE2" w:rsidRPr="009C1EAD">
        <w:rPr>
          <w:bCs/>
          <w:lang w:val="en-GB"/>
        </w:rPr>
        <w:t>3</w:t>
      </w:r>
      <w:r w:rsidRPr="009C1EAD">
        <w:rPr>
          <w:bCs/>
          <w:lang w:val="en-GB"/>
        </w:rPr>
        <w:t xml:space="preserve"> October 2013, §</w:t>
      </w:r>
      <w:r w:rsidR="00F74AE2" w:rsidRPr="009C1EAD">
        <w:rPr>
          <w:bCs/>
          <w:lang w:val="en-GB"/>
        </w:rPr>
        <w:t>§</w:t>
      </w:r>
      <w:r w:rsidRPr="009C1EAD">
        <w:rPr>
          <w:bCs/>
          <w:lang w:val="en-GB"/>
        </w:rPr>
        <w:t xml:space="preserve"> </w:t>
      </w:r>
      <w:r w:rsidR="00F74AE2" w:rsidRPr="009C1EAD">
        <w:rPr>
          <w:bCs/>
          <w:lang w:val="en-GB"/>
        </w:rPr>
        <w:t xml:space="preserve">93 - </w:t>
      </w:r>
      <w:r w:rsidRPr="009C1EAD">
        <w:rPr>
          <w:bCs/>
          <w:lang w:val="en-GB"/>
        </w:rPr>
        <w:t>95).</w:t>
      </w:r>
      <w:bookmarkEnd w:id="95"/>
      <w:bookmarkEnd w:id="96"/>
    </w:p>
    <w:p w:rsidR="00CF7FBE" w:rsidRPr="007F4884" w:rsidRDefault="00CF7FBE" w:rsidP="00CF7FBE">
      <w:pPr>
        <w:pStyle w:val="ColorfulList-Accent11"/>
        <w:rPr>
          <w:lang w:val="en-GB"/>
        </w:rPr>
      </w:pPr>
    </w:p>
    <w:p w:rsidR="00CF7FBE" w:rsidRPr="007F4884" w:rsidRDefault="00CF7FBE" w:rsidP="00FE6207">
      <w:pPr>
        <w:numPr>
          <w:ilvl w:val="0"/>
          <w:numId w:val="2"/>
        </w:numPr>
        <w:tabs>
          <w:tab w:val="left" w:pos="709"/>
        </w:tabs>
        <w:suppressAutoHyphens/>
        <w:autoSpaceDE w:val="0"/>
        <w:ind w:left="450" w:hanging="450"/>
        <w:jc w:val="both"/>
        <w:rPr>
          <w:lang w:val="en-GB"/>
        </w:rPr>
      </w:pPr>
      <w:r w:rsidRPr="007F4884">
        <w:rPr>
          <w:bCs/>
          <w:lang w:val="en-GB"/>
        </w:rPr>
        <w:t xml:space="preserve">The Panel will now turn to the investigation carried out by UNMIK Police with the aim of </w:t>
      </w:r>
      <w:r w:rsidRPr="00EE6125">
        <w:rPr>
          <w:bCs/>
          <w:color w:val="000000"/>
          <w:lang w:val="en-GB"/>
        </w:rPr>
        <w:t>identification</w:t>
      </w:r>
      <w:r w:rsidRPr="007F4884">
        <w:rPr>
          <w:bCs/>
          <w:lang w:val="en-GB"/>
        </w:rPr>
        <w:t xml:space="preserve"> of </w:t>
      </w:r>
      <w:r w:rsidRPr="00FE6207">
        <w:rPr>
          <w:bCs/>
          <w:lang w:val="en-GB"/>
        </w:rPr>
        <w:t>perpetrators</w:t>
      </w:r>
      <w:r w:rsidRPr="007F4884">
        <w:rPr>
          <w:bCs/>
          <w:lang w:val="en-GB"/>
        </w:rPr>
        <w:t xml:space="preserve"> and bringing them to justice, that is the second element of the procedural </w:t>
      </w:r>
      <w:r w:rsidRPr="00EE6125">
        <w:rPr>
          <w:color w:val="000000"/>
          <w:lang w:val="en-GB"/>
        </w:rPr>
        <w:t>obligation</w:t>
      </w:r>
      <w:r w:rsidRPr="007F4884">
        <w:rPr>
          <w:bCs/>
          <w:lang w:val="en-GB"/>
        </w:rPr>
        <w:t xml:space="preserve"> </w:t>
      </w:r>
      <w:r w:rsidRPr="00EE6125">
        <w:rPr>
          <w:color w:val="000000"/>
        </w:rPr>
        <w:t>under</w:t>
      </w:r>
      <w:r w:rsidRPr="007F4884">
        <w:rPr>
          <w:bCs/>
          <w:lang w:val="en-GB"/>
        </w:rPr>
        <w:t xml:space="preserve"> Article 2 of the ECHR.</w:t>
      </w:r>
    </w:p>
    <w:p w:rsidR="000B1FE4" w:rsidRPr="00F74AE2" w:rsidRDefault="000B1FE4" w:rsidP="000B1FE4">
      <w:pPr>
        <w:pStyle w:val="ColorfulList-Accent11"/>
        <w:rPr>
          <w:bCs/>
          <w:lang w:val="en-GB"/>
        </w:rPr>
      </w:pPr>
    </w:p>
    <w:p w:rsidR="00F74AE2" w:rsidRPr="00F74AE2" w:rsidRDefault="000B1FE4" w:rsidP="000B1FE4">
      <w:pPr>
        <w:numPr>
          <w:ilvl w:val="0"/>
          <w:numId w:val="2"/>
        </w:numPr>
        <w:tabs>
          <w:tab w:val="left" w:pos="709"/>
        </w:tabs>
        <w:suppressAutoHyphens/>
        <w:autoSpaceDE w:val="0"/>
        <w:ind w:left="450" w:hanging="450"/>
        <w:jc w:val="both"/>
        <w:rPr>
          <w:color w:val="FF0000"/>
        </w:rPr>
      </w:pPr>
      <w:r w:rsidRPr="00F74AE2">
        <w:rPr>
          <w:bCs/>
          <w:lang w:val="en-GB"/>
        </w:rPr>
        <w:t xml:space="preserve">In this respect, the Panel notes that, </w:t>
      </w:r>
      <w:r w:rsidRPr="00F74AE2">
        <w:rPr>
          <w:lang w:val="en-GB"/>
        </w:rPr>
        <w:t>as established above, UNMIK became aware of the disappearance of</w:t>
      </w:r>
      <w:r w:rsidR="00F74AE2" w:rsidRPr="00F74AE2">
        <w:rPr>
          <w:lang w:val="en-GB"/>
        </w:rPr>
        <w:t xml:space="preserve"> the</w:t>
      </w:r>
      <w:r w:rsidRPr="00F74AE2">
        <w:rPr>
          <w:lang w:val="en-GB"/>
        </w:rPr>
        <w:t xml:space="preserve"> </w:t>
      </w:r>
      <w:proofErr w:type="spellStart"/>
      <w:r w:rsidR="00F74AE2" w:rsidRPr="00F74AE2">
        <w:t>Šutaković</w:t>
      </w:r>
      <w:proofErr w:type="spellEnd"/>
      <w:r w:rsidR="00F74AE2" w:rsidRPr="00F74AE2">
        <w:t xml:space="preserve"> family by September 2002</w:t>
      </w:r>
      <w:r w:rsidR="00F74AE2" w:rsidRPr="00F74AE2">
        <w:rPr>
          <w:lang w:val="en-GB"/>
        </w:rPr>
        <w:t xml:space="preserve">, of </w:t>
      </w:r>
      <w:r w:rsidR="00F74AE2" w:rsidRPr="00F74AE2">
        <w:t xml:space="preserve">Mr </w:t>
      </w:r>
      <w:proofErr w:type="spellStart"/>
      <w:r w:rsidR="00F74AE2" w:rsidRPr="00F74AE2">
        <w:t>Milenko</w:t>
      </w:r>
      <w:proofErr w:type="spellEnd"/>
      <w:r w:rsidR="00F74AE2" w:rsidRPr="00F74AE2">
        <w:t xml:space="preserve"> </w:t>
      </w:r>
      <w:proofErr w:type="spellStart"/>
      <w:r w:rsidR="00F74AE2" w:rsidRPr="00F74AE2">
        <w:t>Kabaš</w:t>
      </w:r>
      <w:proofErr w:type="spellEnd"/>
      <w:r w:rsidR="00F74AE2" w:rsidRPr="00F74AE2">
        <w:t xml:space="preserve"> by </w:t>
      </w:r>
      <w:r w:rsidR="00F74AE2" w:rsidRPr="00F74AE2">
        <w:rPr>
          <w:lang w:val="en-GB"/>
        </w:rPr>
        <w:t xml:space="preserve">March 2001 </w:t>
      </w:r>
      <w:r w:rsidR="00F74AE2" w:rsidRPr="00F74AE2">
        <w:t xml:space="preserve">and of </w:t>
      </w:r>
      <w:r w:rsidR="00F74AE2" w:rsidRPr="00F74AE2">
        <w:rPr>
          <w:lang w:val="en-GB"/>
        </w:rPr>
        <w:t xml:space="preserve">Mr and Mrs </w:t>
      </w:r>
      <w:proofErr w:type="spellStart"/>
      <w:r w:rsidR="00F74AE2" w:rsidRPr="00F74AE2">
        <w:rPr>
          <w:lang w:val="en-GB"/>
        </w:rPr>
        <w:t>Petrović</w:t>
      </w:r>
      <w:proofErr w:type="spellEnd"/>
      <w:r w:rsidR="00F74AE2" w:rsidRPr="00F74AE2">
        <w:rPr>
          <w:bCs/>
          <w:lang w:val="en-GB"/>
        </w:rPr>
        <w:t xml:space="preserve"> by May 2000 (see § </w:t>
      </w:r>
      <w:r w:rsidR="0037719A">
        <w:fldChar w:fldCharType="begin"/>
      </w:r>
      <w:r w:rsidR="0037719A">
        <w:instrText xml:space="preserve"> REF _Ref404697035 \r \h  \* MERGEFORMAT </w:instrText>
      </w:r>
      <w:r w:rsidR="0037719A">
        <w:fldChar w:fldCharType="separate"/>
      </w:r>
      <w:r w:rsidR="00A35759" w:rsidRPr="00A35759">
        <w:rPr>
          <w:bCs/>
          <w:lang w:val="en-GB"/>
        </w:rPr>
        <w:t>177</w:t>
      </w:r>
      <w:r w:rsidR="0037719A">
        <w:fldChar w:fldCharType="end"/>
      </w:r>
      <w:r w:rsidR="00F74AE2" w:rsidRPr="00F74AE2">
        <w:rPr>
          <w:bCs/>
          <w:lang w:val="en-GB"/>
        </w:rPr>
        <w:t xml:space="preserve"> above); then the respective </w:t>
      </w:r>
      <w:r w:rsidRPr="00F74AE2">
        <w:rPr>
          <w:lang w:val="en-GB"/>
        </w:rPr>
        <w:t>investigative file</w:t>
      </w:r>
      <w:r w:rsidR="00F74AE2" w:rsidRPr="00F74AE2">
        <w:rPr>
          <w:lang w:val="en-GB"/>
        </w:rPr>
        <w:t>s</w:t>
      </w:r>
      <w:r w:rsidRPr="00F74AE2">
        <w:rPr>
          <w:lang w:val="en-GB"/>
        </w:rPr>
        <w:t xml:space="preserve"> w</w:t>
      </w:r>
      <w:r w:rsidR="00F74AE2" w:rsidRPr="00F74AE2">
        <w:rPr>
          <w:lang w:val="en-GB"/>
        </w:rPr>
        <w:t>ere</w:t>
      </w:r>
      <w:r w:rsidRPr="00F74AE2">
        <w:rPr>
          <w:lang w:val="en-GB"/>
        </w:rPr>
        <w:t xml:space="preserve"> opened </w:t>
      </w:r>
      <w:r w:rsidR="00F74AE2" w:rsidRPr="00F74AE2">
        <w:rPr>
          <w:lang w:val="en-GB"/>
        </w:rPr>
        <w:t>by UNMIK Police</w:t>
      </w:r>
      <w:r w:rsidRPr="00F74AE2">
        <w:rPr>
          <w:lang w:val="en-GB"/>
        </w:rPr>
        <w:t xml:space="preserve">. However, </w:t>
      </w:r>
      <w:r w:rsidRPr="00F74AE2">
        <w:t>n</w:t>
      </w:r>
      <w:r w:rsidRPr="00F74AE2">
        <w:rPr>
          <w:lang w:val="en-GB"/>
        </w:rPr>
        <w:t>o immediate action by UNMIK Police whatsoever, except for registering the case</w:t>
      </w:r>
      <w:r w:rsidR="00F74AE2" w:rsidRPr="00F74AE2">
        <w:rPr>
          <w:lang w:val="en-GB"/>
        </w:rPr>
        <w:t>s</w:t>
      </w:r>
      <w:r w:rsidRPr="00F74AE2">
        <w:rPr>
          <w:lang w:val="en-GB"/>
        </w:rPr>
        <w:t>, is reflected in the investigative file.</w:t>
      </w:r>
    </w:p>
    <w:p w:rsidR="00F74AE2" w:rsidRPr="00F74AE2" w:rsidRDefault="00F74AE2" w:rsidP="00F74AE2">
      <w:pPr>
        <w:rPr>
          <w:color w:val="FF0000"/>
          <w:lang w:val="en-GB"/>
        </w:rPr>
      </w:pPr>
    </w:p>
    <w:p w:rsidR="000B1FE4" w:rsidRPr="00F74AE2" w:rsidRDefault="00F74AE2" w:rsidP="000B1FE4">
      <w:pPr>
        <w:numPr>
          <w:ilvl w:val="0"/>
          <w:numId w:val="2"/>
        </w:numPr>
        <w:tabs>
          <w:tab w:val="left" w:pos="709"/>
        </w:tabs>
        <w:suppressAutoHyphens/>
        <w:autoSpaceDE w:val="0"/>
        <w:ind w:left="450" w:hanging="450"/>
        <w:jc w:val="both"/>
      </w:pPr>
      <w:r w:rsidRPr="00F74AE2">
        <w:rPr>
          <w:lang w:val="en-GB"/>
        </w:rPr>
        <w:t xml:space="preserve">Furthermore, before any substantive </w:t>
      </w:r>
      <w:r w:rsidRPr="00C5394C">
        <w:rPr>
          <w:lang w:val="en-GB"/>
        </w:rPr>
        <w:t xml:space="preserve">investigative action was undertaken, their files had been categorised as “pending” or “inactive” (see §§ </w:t>
      </w:r>
      <w:r w:rsidR="0037719A">
        <w:fldChar w:fldCharType="begin"/>
      </w:r>
      <w:r w:rsidR="0037719A">
        <w:instrText xml:space="preserve"> REF _Ref404697372 \r \h  \* MERGEFORMAT </w:instrText>
      </w:r>
      <w:r w:rsidR="0037719A">
        <w:fldChar w:fldCharType="separate"/>
      </w:r>
      <w:r w:rsidR="00A35759" w:rsidRPr="00A35759">
        <w:rPr>
          <w:lang w:val="en-GB"/>
        </w:rPr>
        <w:t>72</w:t>
      </w:r>
      <w:r w:rsidR="0037719A">
        <w:fldChar w:fldCharType="end"/>
      </w:r>
      <w:r w:rsidRPr="00C5394C">
        <w:rPr>
          <w:lang w:val="en-GB"/>
        </w:rPr>
        <w:t xml:space="preserve">, </w:t>
      </w:r>
      <w:r w:rsidR="0037719A">
        <w:fldChar w:fldCharType="begin"/>
      </w:r>
      <w:r w:rsidR="0037719A">
        <w:instrText xml:space="preserve"> REF _Ref404697443 \r \h  \* MERGEFORMAT </w:instrText>
      </w:r>
      <w:r w:rsidR="0037719A">
        <w:fldChar w:fldCharType="separate"/>
      </w:r>
      <w:r w:rsidR="00A35759" w:rsidRPr="00A35759">
        <w:rPr>
          <w:lang w:val="en-GB"/>
        </w:rPr>
        <w:t>83</w:t>
      </w:r>
      <w:r w:rsidR="0037719A">
        <w:fldChar w:fldCharType="end"/>
      </w:r>
      <w:r w:rsidRPr="00C5394C">
        <w:rPr>
          <w:lang w:val="en-GB"/>
        </w:rPr>
        <w:t xml:space="preserve"> and </w:t>
      </w:r>
      <w:r w:rsidR="0037719A">
        <w:fldChar w:fldCharType="begin"/>
      </w:r>
      <w:r w:rsidR="0037719A">
        <w:instrText xml:space="preserve"> REF _Ref404697530 \r \h  \* MERGEFORMAT </w:instrText>
      </w:r>
      <w:r w:rsidR="0037719A">
        <w:fldChar w:fldCharType="separate"/>
      </w:r>
      <w:r w:rsidR="00A35759" w:rsidRPr="00A35759">
        <w:rPr>
          <w:lang w:val="en-GB"/>
        </w:rPr>
        <w:t>94</w:t>
      </w:r>
      <w:r w:rsidR="0037719A">
        <w:fldChar w:fldCharType="end"/>
      </w:r>
      <w:r w:rsidRPr="00C5394C">
        <w:rPr>
          <w:lang w:val="en-GB"/>
        </w:rPr>
        <w:t xml:space="preserve"> above), </w:t>
      </w:r>
      <w:r w:rsidRPr="00C5394C">
        <w:t xml:space="preserve">although the likelihood of a grave crime against a </w:t>
      </w:r>
      <w:r w:rsidR="008103F1" w:rsidRPr="00C5394C">
        <w:t xml:space="preserve">large </w:t>
      </w:r>
      <w:r w:rsidRPr="00C5394C">
        <w:t>group of Kosovo Serbs, including underage children, having been committed was very high</w:t>
      </w:r>
      <w:r w:rsidR="003A6CA6" w:rsidRPr="00C5394C">
        <w:t xml:space="preserve">, and the names of the suspects were </w:t>
      </w:r>
      <w:r w:rsidR="008A5842" w:rsidRPr="00C5394C">
        <w:t xml:space="preserve">made </w:t>
      </w:r>
      <w:r w:rsidR="003A6CA6" w:rsidRPr="00C5394C">
        <w:t>available to the police</w:t>
      </w:r>
      <w:r w:rsidRPr="00C5394C">
        <w:t xml:space="preserve">. </w:t>
      </w:r>
      <w:r w:rsidR="000B1FE4" w:rsidRPr="00C5394C">
        <w:rPr>
          <w:lang w:val="en-GB"/>
        </w:rPr>
        <w:t xml:space="preserve">Thus, in the Panel’s view, </w:t>
      </w:r>
      <w:r w:rsidR="000B1FE4" w:rsidRPr="00C5394C">
        <w:t>th</w:t>
      </w:r>
      <w:r w:rsidRPr="00C5394C">
        <w:t>e</w:t>
      </w:r>
      <w:r w:rsidR="000B1FE4" w:rsidRPr="00C5394C">
        <w:t xml:space="preserve"> investigation</w:t>
      </w:r>
      <w:r w:rsidRPr="00C5394C">
        <w:t xml:space="preserve"> into the abduction and</w:t>
      </w:r>
      <w:r w:rsidRPr="00F74AE2">
        <w:t xml:space="preserve"> disappearance of the complainants’ relatives </w:t>
      </w:r>
      <w:r w:rsidR="000B1FE4" w:rsidRPr="00F74AE2">
        <w:t>obviously did not fulfill the requirements of promptness and expeditiousness.</w:t>
      </w:r>
    </w:p>
    <w:p w:rsidR="000B1FE4" w:rsidRPr="000B1FE4" w:rsidRDefault="000B1FE4" w:rsidP="000B1FE4">
      <w:pPr>
        <w:pStyle w:val="ColorfulList-Accent11"/>
        <w:rPr>
          <w:color w:val="FF0000"/>
        </w:rPr>
      </w:pPr>
    </w:p>
    <w:p w:rsidR="000B1FE4" w:rsidRPr="003A6CA6" w:rsidRDefault="000B1FE4" w:rsidP="000B1FE4">
      <w:pPr>
        <w:numPr>
          <w:ilvl w:val="0"/>
          <w:numId w:val="2"/>
        </w:numPr>
        <w:tabs>
          <w:tab w:val="num" w:pos="450"/>
          <w:tab w:val="left" w:pos="709"/>
        </w:tabs>
        <w:suppressAutoHyphens/>
        <w:autoSpaceDE w:val="0"/>
        <w:ind w:left="450" w:hanging="450"/>
        <w:jc w:val="both"/>
        <w:rPr>
          <w:bCs/>
          <w:lang w:val="en-GB"/>
        </w:rPr>
      </w:pPr>
      <w:r w:rsidRPr="003A6CA6">
        <w:t>Assessing this investigation against the need to take reasonable investigative steps and to follow obvious lines of enquiry to obtain evidence, t</w:t>
      </w:r>
      <w:r w:rsidRPr="003A6CA6">
        <w:rPr>
          <w:lang w:val="en-GB" w:eastAsia="en-GB"/>
        </w:rPr>
        <w:t xml:space="preserve">he Panel takes into </w:t>
      </w:r>
      <w:r w:rsidRPr="003A6CA6">
        <w:rPr>
          <w:lang w:val="en-GB"/>
        </w:rPr>
        <w:t>account</w:t>
      </w:r>
      <w:r w:rsidRPr="003A6CA6">
        <w:rPr>
          <w:lang w:val="en-GB" w:eastAsia="en-GB"/>
        </w:rPr>
        <w:t xml:space="preserve"> that a properly maintained investigative file should have included records of all investigative actions and </w:t>
      </w:r>
      <w:r w:rsidRPr="003A6CA6">
        <w:rPr>
          <w:bCs/>
          <w:lang w:val="en-GB"/>
        </w:rPr>
        <w:t>particularly</w:t>
      </w:r>
      <w:r w:rsidRPr="003A6CA6">
        <w:rPr>
          <w:lang w:val="en-GB" w:eastAsia="en-GB"/>
        </w:rPr>
        <w:t xml:space="preserve"> of </w:t>
      </w:r>
      <w:r w:rsidRPr="003A6CA6">
        <w:t>the interviews with the complainant, suspects and all potential witnesses to the disappearance</w:t>
      </w:r>
      <w:r w:rsidRPr="003A6CA6">
        <w:rPr>
          <w:lang w:val="en-GB" w:eastAsia="en-GB"/>
        </w:rPr>
        <w:t xml:space="preserve">. </w:t>
      </w:r>
      <w:r w:rsidRPr="003A6CA6">
        <w:rPr>
          <w:lang w:val="en-GB"/>
        </w:rPr>
        <w:t xml:space="preserve">In all cases, such interviews should take place as soon as possible and should </w:t>
      </w:r>
      <w:r w:rsidRPr="003A6CA6">
        <w:t>be</w:t>
      </w:r>
      <w:r w:rsidRPr="003A6CA6">
        <w:rPr>
          <w:lang w:val="en-GB"/>
        </w:rPr>
        <w:t xml:space="preserve"> recorded and retained in the case file</w:t>
      </w:r>
      <w:r w:rsidR="007C2A8A">
        <w:rPr>
          <w:lang w:val="en-GB"/>
        </w:rPr>
        <w:t xml:space="preserve"> </w:t>
      </w:r>
      <w:r w:rsidR="007C2A8A" w:rsidRPr="007C2A8A">
        <w:rPr>
          <w:lang w:val="en-GB"/>
        </w:rPr>
        <w:t>(</w:t>
      </w:r>
      <w:r w:rsidR="007C2A8A" w:rsidRPr="007C2A8A">
        <w:rPr>
          <w:color w:val="000000"/>
        </w:rPr>
        <w:t xml:space="preserve">see </w:t>
      </w:r>
      <w:r w:rsidR="007C2A8A" w:rsidRPr="007C2A8A">
        <w:rPr>
          <w:bCs/>
          <w:i/>
          <w:color w:val="000000"/>
        </w:rPr>
        <w:t xml:space="preserve">United Nations Manual </w:t>
      </w:r>
      <w:proofErr w:type="gramStart"/>
      <w:r w:rsidR="007C2A8A" w:rsidRPr="007C2A8A">
        <w:rPr>
          <w:bCs/>
          <w:i/>
          <w:color w:val="000000"/>
        </w:rPr>
        <w:t>On The Effective Prevention And Investigation Of</w:t>
      </w:r>
      <w:proofErr w:type="gramEnd"/>
      <w:r w:rsidR="007C2A8A" w:rsidRPr="007C2A8A">
        <w:rPr>
          <w:bCs/>
          <w:i/>
          <w:color w:val="000000"/>
        </w:rPr>
        <w:t xml:space="preserve"> Extra-Legal, Arbitrary And Summary Executions</w:t>
      </w:r>
      <w:r w:rsidR="007C2A8A" w:rsidRPr="007C2A8A">
        <w:rPr>
          <w:bCs/>
          <w:color w:val="000000"/>
        </w:rPr>
        <w:t>, adopted on 24 May 1989 by the Economic and Social Council, Resolution 1989/65).</w:t>
      </w:r>
    </w:p>
    <w:p w:rsidR="000B1FE4" w:rsidRPr="000B1FE4" w:rsidRDefault="000B1FE4" w:rsidP="000B1FE4">
      <w:pPr>
        <w:pStyle w:val="ColorfulList-Accent11"/>
        <w:rPr>
          <w:color w:val="FF0000"/>
        </w:rPr>
      </w:pPr>
    </w:p>
    <w:p w:rsidR="000B1FE4" w:rsidRPr="00937BF7" w:rsidRDefault="000B1FE4" w:rsidP="000B1FE4">
      <w:pPr>
        <w:numPr>
          <w:ilvl w:val="0"/>
          <w:numId w:val="2"/>
        </w:numPr>
        <w:tabs>
          <w:tab w:val="num" w:pos="450"/>
        </w:tabs>
        <w:suppressAutoHyphens/>
        <w:autoSpaceDE w:val="0"/>
        <w:ind w:left="450" w:hanging="450"/>
        <w:jc w:val="both"/>
      </w:pPr>
      <w:bookmarkStart w:id="97" w:name="_Ref374436192"/>
      <w:r w:rsidRPr="00937BF7">
        <w:rPr>
          <w:lang w:val="en-GB"/>
        </w:rPr>
        <w:t>However, UNMIK Police never</w:t>
      </w:r>
      <w:r w:rsidR="00616D19" w:rsidRPr="00937BF7">
        <w:rPr>
          <w:lang w:val="en-GB"/>
        </w:rPr>
        <w:t xml:space="preserve"> properly</w:t>
      </w:r>
      <w:r w:rsidRPr="00937BF7">
        <w:rPr>
          <w:lang w:val="en-GB"/>
        </w:rPr>
        <w:t xml:space="preserve"> </w:t>
      </w:r>
      <w:r w:rsidR="00616D19" w:rsidRPr="00937BF7">
        <w:rPr>
          <w:lang w:val="en-GB"/>
        </w:rPr>
        <w:t xml:space="preserve">recorded statements </w:t>
      </w:r>
      <w:r w:rsidR="003A6CA6" w:rsidRPr="00937BF7">
        <w:rPr>
          <w:lang w:val="en-GB"/>
        </w:rPr>
        <w:t xml:space="preserve">of </w:t>
      </w:r>
      <w:r w:rsidR="00616D19" w:rsidRPr="00937BF7">
        <w:rPr>
          <w:lang w:val="en-GB"/>
        </w:rPr>
        <w:t xml:space="preserve">any of </w:t>
      </w:r>
      <w:r w:rsidR="003A6CA6" w:rsidRPr="00937BF7">
        <w:rPr>
          <w:lang w:val="en-GB"/>
        </w:rPr>
        <w:t xml:space="preserve">the complainants, or their family members. </w:t>
      </w:r>
      <w:r w:rsidRPr="00937BF7">
        <w:rPr>
          <w:lang w:val="en-GB"/>
        </w:rPr>
        <w:t xml:space="preserve">This is especially important in the view of the fact that </w:t>
      </w:r>
      <w:r w:rsidR="003A6CA6" w:rsidRPr="00937BF7">
        <w:rPr>
          <w:lang w:val="en-GB"/>
        </w:rPr>
        <w:t xml:space="preserve">all complainants possessed information </w:t>
      </w:r>
      <w:r w:rsidR="003A6CA6" w:rsidRPr="00995206">
        <w:rPr>
          <w:lang w:val="en-GB"/>
        </w:rPr>
        <w:t>in relation to the possible suspects and witnesses, including eye-witness</w:t>
      </w:r>
      <w:r w:rsidR="00995206">
        <w:rPr>
          <w:lang w:val="en-GB"/>
        </w:rPr>
        <w:t>es</w:t>
      </w:r>
      <w:r w:rsidR="007C7893" w:rsidRPr="00995206">
        <w:rPr>
          <w:lang w:val="en-GB"/>
        </w:rPr>
        <w:t xml:space="preserve"> and that the second complainant,</w:t>
      </w:r>
      <w:r w:rsidR="003A6CA6" w:rsidRPr="00995206">
        <w:rPr>
          <w:lang w:val="en-GB"/>
        </w:rPr>
        <w:t xml:space="preserve"> Ms </w:t>
      </w:r>
      <w:proofErr w:type="spellStart"/>
      <w:r w:rsidR="003A6CA6" w:rsidRPr="00995206">
        <w:rPr>
          <w:lang w:val="en-GB"/>
        </w:rPr>
        <w:t>Rosanda</w:t>
      </w:r>
      <w:proofErr w:type="spellEnd"/>
      <w:r w:rsidR="003A6CA6" w:rsidRPr="00995206">
        <w:rPr>
          <w:lang w:val="en-GB"/>
        </w:rPr>
        <w:t xml:space="preserve"> </w:t>
      </w:r>
      <w:proofErr w:type="spellStart"/>
      <w:r w:rsidR="003A6CA6" w:rsidRPr="00995206">
        <w:rPr>
          <w:lang w:val="en-GB"/>
        </w:rPr>
        <w:t>Kabaš</w:t>
      </w:r>
      <w:proofErr w:type="spellEnd"/>
      <w:r w:rsidR="007C7893" w:rsidRPr="00995206">
        <w:rPr>
          <w:lang w:val="en-GB"/>
        </w:rPr>
        <w:t>,</w:t>
      </w:r>
      <w:r w:rsidR="003A6CA6" w:rsidRPr="00995206">
        <w:rPr>
          <w:lang w:val="en-GB"/>
        </w:rPr>
        <w:t xml:space="preserve"> was herself an eye-witness to the abduction of her brother </w:t>
      </w:r>
      <w:r w:rsidRPr="00995206">
        <w:rPr>
          <w:lang w:val="en-GB"/>
        </w:rPr>
        <w:t xml:space="preserve">(see </w:t>
      </w:r>
      <w:r w:rsidR="00937BF7" w:rsidRPr="00995206">
        <w:rPr>
          <w:lang w:val="en-GB"/>
        </w:rPr>
        <w:t xml:space="preserve">e.g. </w:t>
      </w:r>
      <w:r w:rsidRPr="00995206">
        <w:rPr>
          <w:lang w:val="en-GB"/>
        </w:rPr>
        <w:t xml:space="preserve">§§ </w:t>
      </w:r>
      <w:r w:rsidR="0037719A">
        <w:fldChar w:fldCharType="begin"/>
      </w:r>
      <w:r w:rsidR="0037719A">
        <w:instrText xml:space="preserve"> REF _Ref404246202 \r \h  \* MERGEFORMAT </w:instrText>
      </w:r>
      <w:r w:rsidR="0037719A">
        <w:fldChar w:fldCharType="separate"/>
      </w:r>
      <w:r w:rsidR="00A35759" w:rsidRPr="00A35759">
        <w:rPr>
          <w:lang w:val="en-GB"/>
        </w:rPr>
        <w:t>57</w:t>
      </w:r>
      <w:r w:rsidR="0037719A">
        <w:fldChar w:fldCharType="end"/>
      </w:r>
      <w:r w:rsidR="003A6CA6" w:rsidRPr="00995206">
        <w:t xml:space="preserve"> </w:t>
      </w:r>
      <w:r w:rsidRPr="00995206">
        <w:rPr>
          <w:lang w:val="en-GB"/>
        </w:rPr>
        <w:t xml:space="preserve">and </w:t>
      </w:r>
      <w:r w:rsidR="0037719A">
        <w:fldChar w:fldCharType="begin"/>
      </w:r>
      <w:r w:rsidR="0037719A">
        <w:instrText xml:space="preserve"> REF _Ref404598204 \r \h  \* MERGEFORMAT </w:instrText>
      </w:r>
      <w:r w:rsidR="0037719A">
        <w:fldChar w:fldCharType="separate"/>
      </w:r>
      <w:r w:rsidR="00A35759" w:rsidRPr="00A35759">
        <w:rPr>
          <w:lang w:val="en-GB"/>
        </w:rPr>
        <w:t>64</w:t>
      </w:r>
      <w:r w:rsidR="0037719A">
        <w:fldChar w:fldCharType="end"/>
      </w:r>
      <w:r w:rsidR="003A6CA6" w:rsidRPr="00995206">
        <w:rPr>
          <w:lang w:val="en-GB"/>
        </w:rPr>
        <w:t xml:space="preserve"> </w:t>
      </w:r>
      <w:r w:rsidRPr="00995206">
        <w:rPr>
          <w:lang w:val="en-GB"/>
        </w:rPr>
        <w:t>above)</w:t>
      </w:r>
      <w:bookmarkEnd w:id="97"/>
      <w:r w:rsidR="003A6CA6" w:rsidRPr="00995206">
        <w:rPr>
          <w:lang w:val="en-GB"/>
        </w:rPr>
        <w:t>.</w:t>
      </w:r>
      <w:r w:rsidRPr="00995206">
        <w:rPr>
          <w:lang w:val="en-GB"/>
        </w:rPr>
        <w:t xml:space="preserve"> </w:t>
      </w:r>
      <w:r w:rsidRPr="00995206">
        <w:t>Likewise</w:t>
      </w:r>
      <w:r w:rsidRPr="00937BF7">
        <w:t xml:space="preserve">, there </w:t>
      </w:r>
      <w:r w:rsidR="00937BF7" w:rsidRPr="00937BF7">
        <w:t xml:space="preserve">is no registered </w:t>
      </w:r>
      <w:r w:rsidRPr="00937BF7">
        <w:t xml:space="preserve">action </w:t>
      </w:r>
      <w:r w:rsidR="00937BF7" w:rsidRPr="00937BF7">
        <w:t>with regard to the identified suspects and additional witnesses</w:t>
      </w:r>
      <w:r w:rsidRPr="00937BF7">
        <w:t>.</w:t>
      </w:r>
    </w:p>
    <w:p w:rsidR="000B1FE4" w:rsidRPr="000B1FE4" w:rsidRDefault="000B1FE4" w:rsidP="000B1FE4">
      <w:pPr>
        <w:pStyle w:val="ColorfulList-Accent11"/>
        <w:rPr>
          <w:color w:val="FF0000"/>
        </w:rPr>
      </w:pPr>
    </w:p>
    <w:p w:rsidR="000B1FE4" w:rsidRPr="00995206" w:rsidRDefault="000B1FE4" w:rsidP="000B1FE4">
      <w:pPr>
        <w:numPr>
          <w:ilvl w:val="0"/>
          <w:numId w:val="2"/>
        </w:numPr>
        <w:tabs>
          <w:tab w:val="left" w:pos="709"/>
        </w:tabs>
        <w:suppressAutoHyphens/>
        <w:autoSpaceDE w:val="0"/>
        <w:ind w:left="450" w:hanging="450"/>
        <w:jc w:val="both"/>
        <w:rPr>
          <w:rStyle w:val="sb8d990e2"/>
        </w:rPr>
      </w:pPr>
      <w:bookmarkStart w:id="98" w:name="_Ref403677189"/>
      <w:r w:rsidRPr="00937BF7">
        <w:rPr>
          <w:lang w:val="en-GB"/>
        </w:rPr>
        <w:t>It is particularly important in the light of the fact that the complainant</w:t>
      </w:r>
      <w:r w:rsidR="00937BF7" w:rsidRPr="00937BF7">
        <w:rPr>
          <w:lang w:val="en-GB"/>
        </w:rPr>
        <w:t xml:space="preserve">s’ contact details, in Serbia proper, except for </w:t>
      </w:r>
      <w:r w:rsidR="00995206">
        <w:rPr>
          <w:lang w:val="en-GB"/>
        </w:rPr>
        <w:t xml:space="preserve">those of </w:t>
      </w:r>
      <w:r w:rsidR="00937BF7" w:rsidRPr="00937BF7">
        <w:rPr>
          <w:lang w:val="en-GB"/>
        </w:rPr>
        <w:t xml:space="preserve">Ms Lela </w:t>
      </w:r>
      <w:proofErr w:type="spellStart"/>
      <w:r w:rsidR="00937BF7" w:rsidRPr="00937BF7">
        <w:rPr>
          <w:lang w:val="en-GB"/>
        </w:rPr>
        <w:t>Nikolić</w:t>
      </w:r>
      <w:proofErr w:type="spellEnd"/>
      <w:r w:rsidR="00937BF7" w:rsidRPr="00937BF7">
        <w:rPr>
          <w:lang w:val="en-GB"/>
        </w:rPr>
        <w:t xml:space="preserve">, </w:t>
      </w:r>
      <w:r w:rsidRPr="00937BF7">
        <w:rPr>
          <w:lang w:val="en-GB"/>
        </w:rPr>
        <w:t>w</w:t>
      </w:r>
      <w:r w:rsidR="00937BF7" w:rsidRPr="00937BF7">
        <w:rPr>
          <w:lang w:val="en-GB"/>
        </w:rPr>
        <w:t xml:space="preserve">ere available to </w:t>
      </w:r>
      <w:r w:rsidRPr="00937BF7">
        <w:rPr>
          <w:lang w:val="en-GB"/>
        </w:rPr>
        <w:t>UNMIK Police</w:t>
      </w:r>
      <w:r w:rsidR="00937BF7" w:rsidRPr="00937BF7">
        <w:rPr>
          <w:lang w:val="en-GB"/>
        </w:rPr>
        <w:t xml:space="preserve"> </w:t>
      </w:r>
      <w:r w:rsidR="007C7893">
        <w:rPr>
          <w:lang w:val="en-GB"/>
        </w:rPr>
        <w:t>from</w:t>
      </w:r>
      <w:r w:rsidR="007C7893" w:rsidRPr="00937BF7">
        <w:rPr>
          <w:lang w:val="en-GB"/>
        </w:rPr>
        <w:t xml:space="preserve"> </w:t>
      </w:r>
      <w:r w:rsidR="00937BF7" w:rsidRPr="00937BF7">
        <w:rPr>
          <w:lang w:val="en-GB"/>
        </w:rPr>
        <w:t>the very beginning.</w:t>
      </w:r>
      <w:r w:rsidRPr="00937BF7">
        <w:rPr>
          <w:rStyle w:val="sb8d990e2"/>
        </w:rPr>
        <w:t xml:space="preserve"> In this respect, the Panel recalls the general need to take into account the </w:t>
      </w:r>
      <w:r w:rsidRPr="00937BF7">
        <w:rPr>
          <w:rStyle w:val="sb8d990e2"/>
        </w:rPr>
        <w:lastRenderedPageBreak/>
        <w:t xml:space="preserve">special vulnerability of </w:t>
      </w:r>
      <w:r w:rsidRPr="00995206">
        <w:rPr>
          <w:rStyle w:val="sb8d990e2"/>
        </w:rPr>
        <w:t xml:space="preserve">displaced persons in post-conflict situations (see § </w:t>
      </w:r>
      <w:r w:rsidR="0037719A">
        <w:fldChar w:fldCharType="begin"/>
      </w:r>
      <w:r w:rsidR="0037719A">
        <w:instrText xml:space="preserve"> REF _Ref343611663 \r \h  \* MERGEFORMAT </w:instrText>
      </w:r>
      <w:r w:rsidR="0037719A">
        <w:fldChar w:fldCharType="separate"/>
      </w:r>
      <w:r w:rsidR="00A35759" w:rsidRPr="00A35759">
        <w:rPr>
          <w:rStyle w:val="sb8d990e2"/>
        </w:rPr>
        <w:t>172</w:t>
      </w:r>
      <w:r w:rsidR="0037719A">
        <w:fldChar w:fldCharType="end"/>
      </w:r>
      <w:r w:rsidR="00937BF7" w:rsidRPr="00995206">
        <w:rPr>
          <w:rStyle w:val="sb8d990e2"/>
        </w:rPr>
        <w:t xml:space="preserve"> </w:t>
      </w:r>
      <w:r w:rsidRPr="00995206">
        <w:rPr>
          <w:rStyle w:val="sb8d990e2"/>
        </w:rPr>
        <w:t>above). Thus, in the Panel’s view, it was for UNMIK to reach out to them, and not for them to come back to Kosovo, from where they had left for security reasons, to try to find out what had happened to their relative</w:t>
      </w:r>
      <w:r w:rsidR="00937BF7" w:rsidRPr="00995206">
        <w:rPr>
          <w:rStyle w:val="sb8d990e2"/>
        </w:rPr>
        <w:t>s</w:t>
      </w:r>
      <w:r w:rsidRPr="00995206">
        <w:rPr>
          <w:rStyle w:val="sb8d990e2"/>
        </w:rPr>
        <w:t xml:space="preserve"> or to the investigation (see HRAP, </w:t>
      </w:r>
      <w:proofErr w:type="spellStart"/>
      <w:r w:rsidRPr="00995206">
        <w:rPr>
          <w:rStyle w:val="sb8d990e2"/>
          <w:i/>
        </w:rPr>
        <w:t>Buljević</w:t>
      </w:r>
      <w:proofErr w:type="spellEnd"/>
      <w:r w:rsidRPr="00995206">
        <w:rPr>
          <w:rStyle w:val="sb8d990e2"/>
        </w:rPr>
        <w:t xml:space="preserve">, </w:t>
      </w:r>
      <w:r w:rsidR="00937BF7" w:rsidRPr="00995206">
        <w:rPr>
          <w:rStyle w:val="sb8d990e2"/>
        </w:rPr>
        <w:t xml:space="preserve">cited in § </w:t>
      </w:r>
      <w:r w:rsidR="0037719A">
        <w:fldChar w:fldCharType="begin"/>
      </w:r>
      <w:r w:rsidR="0037719A">
        <w:instrText xml:space="preserve"> REF _Ref404768995 \r \h  \* MERGEFORMAT </w:instrText>
      </w:r>
      <w:r w:rsidR="0037719A">
        <w:fldChar w:fldCharType="separate"/>
      </w:r>
      <w:r w:rsidR="00A35759" w:rsidRPr="00A35759">
        <w:rPr>
          <w:bCs/>
          <w:lang w:val="en-GB"/>
        </w:rPr>
        <w:t>192</w:t>
      </w:r>
      <w:r w:rsidR="0037719A">
        <w:fldChar w:fldCharType="end"/>
      </w:r>
      <w:r w:rsidR="00D71A3A" w:rsidRPr="00995206">
        <w:rPr>
          <w:bCs/>
          <w:lang w:val="en-GB"/>
        </w:rPr>
        <w:t xml:space="preserve"> </w:t>
      </w:r>
      <w:r w:rsidR="00937BF7" w:rsidRPr="00995206">
        <w:rPr>
          <w:rStyle w:val="sb8d990e2"/>
        </w:rPr>
        <w:t>above</w:t>
      </w:r>
      <w:r w:rsidRPr="00995206">
        <w:rPr>
          <w:rStyle w:val="sb8d990e2"/>
        </w:rPr>
        <w:t xml:space="preserve">, </w:t>
      </w:r>
      <w:r w:rsidR="00937BF7" w:rsidRPr="00995206">
        <w:rPr>
          <w:rStyle w:val="sb8d990e2"/>
        </w:rPr>
        <w:t xml:space="preserve">at </w:t>
      </w:r>
      <w:r w:rsidRPr="00995206">
        <w:rPr>
          <w:rStyle w:val="sb8d990e2"/>
        </w:rPr>
        <w:t>§ 100).</w:t>
      </w:r>
      <w:bookmarkEnd w:id="98"/>
    </w:p>
    <w:p w:rsidR="000B1FE4" w:rsidRPr="00995206" w:rsidRDefault="000B1FE4" w:rsidP="000B1FE4">
      <w:pPr>
        <w:tabs>
          <w:tab w:val="left" w:pos="709"/>
        </w:tabs>
        <w:suppressAutoHyphens/>
        <w:autoSpaceDE w:val="0"/>
        <w:jc w:val="both"/>
        <w:rPr>
          <w:bCs/>
          <w:lang w:val="en-GB"/>
        </w:rPr>
      </w:pPr>
    </w:p>
    <w:p w:rsidR="00175848" w:rsidRPr="00995206" w:rsidRDefault="000B1FE4" w:rsidP="000B1FE4">
      <w:pPr>
        <w:numPr>
          <w:ilvl w:val="0"/>
          <w:numId w:val="2"/>
        </w:numPr>
        <w:tabs>
          <w:tab w:val="left" w:pos="709"/>
        </w:tabs>
        <w:suppressAutoHyphens/>
        <w:autoSpaceDE w:val="0"/>
        <w:ind w:left="450" w:hanging="450"/>
        <w:jc w:val="both"/>
        <w:rPr>
          <w:bCs/>
          <w:lang w:val="en-GB"/>
        </w:rPr>
      </w:pPr>
      <w:r w:rsidRPr="00995206">
        <w:rPr>
          <w:bCs/>
          <w:lang w:val="en-GB"/>
        </w:rPr>
        <w:t xml:space="preserve">The </w:t>
      </w:r>
      <w:r w:rsidRPr="00995206">
        <w:rPr>
          <w:lang w:val="en-GB"/>
        </w:rPr>
        <w:t>Panel</w:t>
      </w:r>
      <w:r w:rsidRPr="00995206">
        <w:rPr>
          <w:bCs/>
          <w:lang w:val="en-GB"/>
        </w:rPr>
        <w:t xml:space="preserve"> likewise recalls the SRSG’s a</w:t>
      </w:r>
      <w:r w:rsidR="00175848" w:rsidRPr="00995206">
        <w:rPr>
          <w:bCs/>
          <w:lang w:val="en-GB"/>
        </w:rPr>
        <w:t>bove a</w:t>
      </w:r>
      <w:r w:rsidRPr="00995206">
        <w:rPr>
          <w:bCs/>
          <w:lang w:val="en-GB"/>
        </w:rPr>
        <w:t>rgument</w:t>
      </w:r>
      <w:r w:rsidR="00175848" w:rsidRPr="00995206">
        <w:rPr>
          <w:bCs/>
          <w:lang w:val="en-GB"/>
        </w:rPr>
        <w:t>s</w:t>
      </w:r>
      <w:r w:rsidRPr="00995206">
        <w:rPr>
          <w:bCs/>
          <w:lang w:val="en-GB"/>
        </w:rPr>
        <w:t xml:space="preserve"> </w:t>
      </w:r>
      <w:r w:rsidR="00A36B06" w:rsidRPr="00995206">
        <w:rPr>
          <w:bCs/>
          <w:lang w:val="en-GB"/>
        </w:rPr>
        <w:t xml:space="preserve">that information is the most crucial element </w:t>
      </w:r>
      <w:r w:rsidR="00A36B06" w:rsidRPr="00995206">
        <w:t>to locating missing persons and the perpetrators of disappearances and unlawful killings</w:t>
      </w:r>
      <w:r w:rsidR="00A36B06" w:rsidRPr="00995206">
        <w:rPr>
          <w:bCs/>
          <w:lang w:val="en-GB"/>
        </w:rPr>
        <w:t xml:space="preserve"> and that in many situations in Kosovo the witnesses did not provide the necessary information </w:t>
      </w:r>
      <w:r w:rsidRPr="00995206">
        <w:rPr>
          <w:bCs/>
          <w:lang w:val="en-GB"/>
        </w:rPr>
        <w:t xml:space="preserve">(see </w:t>
      </w:r>
      <w:r w:rsidR="00175848" w:rsidRPr="00995206">
        <w:rPr>
          <w:bCs/>
          <w:lang w:val="en-GB"/>
        </w:rPr>
        <w:t>§</w:t>
      </w:r>
      <w:r w:rsidRPr="00995206">
        <w:rPr>
          <w:bCs/>
          <w:lang w:val="en-GB"/>
        </w:rPr>
        <w:t xml:space="preserve"> </w:t>
      </w:r>
      <w:r w:rsidR="0037719A">
        <w:fldChar w:fldCharType="begin"/>
      </w:r>
      <w:r w:rsidR="0037719A">
        <w:instrText xml:space="preserve"> REF _Ref404705540 \r \h  \* MERGEFORMAT </w:instrText>
      </w:r>
      <w:r w:rsidR="0037719A">
        <w:fldChar w:fldCharType="separate"/>
      </w:r>
      <w:r w:rsidR="00A35759" w:rsidRPr="00A35759">
        <w:rPr>
          <w:bCs/>
          <w:lang w:val="en-GB"/>
        </w:rPr>
        <w:t>137</w:t>
      </w:r>
      <w:r w:rsidR="0037719A">
        <w:fldChar w:fldCharType="end"/>
      </w:r>
      <w:r w:rsidR="00175848" w:rsidRPr="00995206">
        <w:t>)</w:t>
      </w:r>
      <w:r w:rsidR="007C7893" w:rsidRPr="00995206">
        <w:t xml:space="preserve">. Therefore, </w:t>
      </w:r>
      <w:r w:rsidR="00175848" w:rsidRPr="00995206">
        <w:rPr>
          <w:bCs/>
          <w:lang w:val="en-GB"/>
        </w:rPr>
        <w:t>“</w:t>
      </w:r>
      <w:r w:rsidR="00175848" w:rsidRPr="00995206">
        <w:t>the lack of any leads regarding the possible perpetrators and the unwillingness of potential witnesses to talk to the Police made the task of identifying the perpetrators and arresting them an impossible one</w:t>
      </w:r>
      <w:r w:rsidR="00175848" w:rsidRPr="00995206">
        <w:rPr>
          <w:bCs/>
          <w:lang w:val="en-GB"/>
        </w:rPr>
        <w:t xml:space="preserve"> (see § </w:t>
      </w:r>
      <w:r w:rsidR="0037719A">
        <w:fldChar w:fldCharType="begin"/>
      </w:r>
      <w:r w:rsidR="0037719A">
        <w:instrText xml:space="preserve"> REF _Ref404768295 \r \h  \* MERGEFORMAT </w:instrText>
      </w:r>
      <w:r w:rsidR="0037719A">
        <w:fldChar w:fldCharType="separate"/>
      </w:r>
      <w:r w:rsidR="00A35759" w:rsidRPr="00A35759">
        <w:rPr>
          <w:bCs/>
          <w:lang w:val="en-GB"/>
        </w:rPr>
        <w:t>141</w:t>
      </w:r>
      <w:r w:rsidR="0037719A">
        <w:fldChar w:fldCharType="end"/>
      </w:r>
      <w:r w:rsidRPr="00995206">
        <w:rPr>
          <w:bCs/>
          <w:lang w:val="en-GB"/>
        </w:rPr>
        <w:t>).</w:t>
      </w:r>
    </w:p>
    <w:p w:rsidR="00175848" w:rsidRPr="00995206" w:rsidRDefault="00175848" w:rsidP="00175848">
      <w:pPr>
        <w:pStyle w:val="ColorfulList-Accent11"/>
        <w:rPr>
          <w:bCs/>
          <w:lang w:val="en-GB"/>
        </w:rPr>
      </w:pPr>
    </w:p>
    <w:p w:rsidR="00EF1528" w:rsidRPr="00995206" w:rsidRDefault="000B1FE4" w:rsidP="000B1FE4">
      <w:pPr>
        <w:numPr>
          <w:ilvl w:val="0"/>
          <w:numId w:val="2"/>
        </w:numPr>
        <w:tabs>
          <w:tab w:val="left" w:pos="709"/>
        </w:tabs>
        <w:suppressAutoHyphens/>
        <w:autoSpaceDE w:val="0"/>
        <w:ind w:left="450" w:hanging="450"/>
        <w:jc w:val="both"/>
        <w:rPr>
          <w:bCs/>
          <w:lang w:val="en-GB"/>
        </w:rPr>
      </w:pPr>
      <w:r w:rsidRPr="00995206">
        <w:rPr>
          <w:bCs/>
          <w:lang w:val="en-GB"/>
        </w:rPr>
        <w:t xml:space="preserve">In this regard, the Panel </w:t>
      </w:r>
      <w:r w:rsidR="00A36B06" w:rsidRPr="00995206">
        <w:rPr>
          <w:bCs/>
          <w:lang w:val="en-GB"/>
        </w:rPr>
        <w:t>note</w:t>
      </w:r>
      <w:r w:rsidR="00175848" w:rsidRPr="00995206">
        <w:rPr>
          <w:bCs/>
          <w:lang w:val="en-GB"/>
        </w:rPr>
        <w:t>s</w:t>
      </w:r>
      <w:r w:rsidR="00A36B06" w:rsidRPr="00995206">
        <w:rPr>
          <w:bCs/>
          <w:lang w:val="en-GB"/>
        </w:rPr>
        <w:t xml:space="preserve">, first, that information is crucial to any investigation, regardless of a crime being investigated. Second, </w:t>
      </w:r>
      <w:r w:rsidRPr="00995206">
        <w:rPr>
          <w:bCs/>
          <w:lang w:val="en-GB"/>
        </w:rPr>
        <w:t xml:space="preserve">almost any investigation at its initial stage lacks </w:t>
      </w:r>
      <w:r w:rsidR="00A36B06" w:rsidRPr="00995206">
        <w:rPr>
          <w:bCs/>
          <w:lang w:val="en-GB"/>
        </w:rPr>
        <w:t>at least some</w:t>
      </w:r>
      <w:r w:rsidRPr="00995206">
        <w:rPr>
          <w:bCs/>
          <w:lang w:val="en-GB"/>
        </w:rPr>
        <w:t xml:space="preserve"> information. Finding the </w:t>
      </w:r>
      <w:r w:rsidRPr="00995206">
        <w:rPr>
          <w:lang w:val="en-GB"/>
        </w:rPr>
        <w:t>necessary</w:t>
      </w:r>
      <w:r w:rsidRPr="00995206">
        <w:rPr>
          <w:bCs/>
          <w:lang w:val="en-GB"/>
        </w:rPr>
        <w:t xml:space="preserve"> information to fill those gaps is the main goal of any investigative activity. Therefore, a lack of information should not be used as an argument to defend inaction by the investigative authorities. In this case, however, it appears that, instead of actively searching for information and leads, UNMIK Police simply waited for further information to appear by itself. In this situation it may have led to the loss of potential evidence (see e.g. HRAP, </w:t>
      </w:r>
      <w:r w:rsidRPr="00995206">
        <w:rPr>
          <w:bCs/>
          <w:i/>
          <w:lang w:val="en-GB"/>
        </w:rPr>
        <w:t>P.S</w:t>
      </w:r>
      <w:r w:rsidRPr="00995206">
        <w:rPr>
          <w:bCs/>
          <w:lang w:val="en-GB"/>
        </w:rPr>
        <w:t>., no. 48/09, opinion of 31 October 2013, § 107).</w:t>
      </w:r>
      <w:r w:rsidR="00EF1528" w:rsidRPr="00995206">
        <w:rPr>
          <w:bCs/>
          <w:lang w:val="en-GB"/>
        </w:rPr>
        <w:t xml:space="preserve"> </w:t>
      </w:r>
    </w:p>
    <w:p w:rsidR="00EF1528" w:rsidRPr="00995206" w:rsidRDefault="00EF1528" w:rsidP="00EF1528">
      <w:pPr>
        <w:pStyle w:val="ListParagraph"/>
        <w:rPr>
          <w:bCs/>
          <w:lang w:val="en-GB"/>
        </w:rPr>
      </w:pPr>
    </w:p>
    <w:p w:rsidR="000B1FE4" w:rsidRPr="006575FA" w:rsidRDefault="00EF1528" w:rsidP="000B1FE4">
      <w:pPr>
        <w:numPr>
          <w:ilvl w:val="0"/>
          <w:numId w:val="2"/>
        </w:numPr>
        <w:tabs>
          <w:tab w:val="left" w:pos="709"/>
        </w:tabs>
        <w:suppressAutoHyphens/>
        <w:autoSpaceDE w:val="0"/>
        <w:ind w:left="450" w:hanging="450"/>
        <w:jc w:val="both"/>
        <w:rPr>
          <w:bCs/>
          <w:lang w:val="en-GB"/>
        </w:rPr>
      </w:pPr>
      <w:r w:rsidRPr="00995206">
        <w:rPr>
          <w:bCs/>
          <w:lang w:val="en-GB"/>
        </w:rPr>
        <w:t xml:space="preserve">In relation to the witnesses’ unwillingness to talk to the police, the Panel notes that, </w:t>
      </w:r>
      <w:proofErr w:type="gramStart"/>
      <w:r w:rsidRPr="00995206">
        <w:rPr>
          <w:bCs/>
          <w:lang w:val="en-GB"/>
        </w:rPr>
        <w:t>first</w:t>
      </w:r>
      <w:r w:rsidR="009C1EAD" w:rsidRPr="00995206">
        <w:rPr>
          <w:bCs/>
          <w:lang w:val="en-GB"/>
        </w:rPr>
        <w:t>,</w:t>
      </w:r>
      <w:proofErr w:type="gramEnd"/>
      <w:r w:rsidR="009C1EAD" w:rsidRPr="00995206">
        <w:rPr>
          <w:bCs/>
          <w:lang w:val="en-GB"/>
        </w:rPr>
        <w:t xml:space="preserve"> the security of the witnesses should be considered a matter of great importance. Furthermore, the </w:t>
      </w:r>
      <w:r w:rsidRPr="00995206">
        <w:rPr>
          <w:bCs/>
          <w:lang w:val="en-GB"/>
        </w:rPr>
        <w:t xml:space="preserve">witness statements should normally be recorded </w:t>
      </w:r>
      <w:r w:rsidR="009C1EAD" w:rsidRPr="00995206">
        <w:rPr>
          <w:bCs/>
          <w:lang w:val="en-GB"/>
        </w:rPr>
        <w:t xml:space="preserve">as </w:t>
      </w:r>
      <w:r w:rsidRPr="00995206">
        <w:rPr>
          <w:bCs/>
          <w:lang w:val="en-GB"/>
        </w:rPr>
        <w:t>soon</w:t>
      </w:r>
      <w:r w:rsidR="009C1EAD" w:rsidRPr="00995206">
        <w:rPr>
          <w:bCs/>
          <w:lang w:val="en-GB"/>
        </w:rPr>
        <w:t xml:space="preserve"> as possible after an incident, and</w:t>
      </w:r>
      <w:r w:rsidRPr="00995206">
        <w:rPr>
          <w:bCs/>
          <w:lang w:val="en-GB"/>
        </w:rPr>
        <w:t xml:space="preserve"> the witness statements are not the only source </w:t>
      </w:r>
      <w:r w:rsidR="001F3C49" w:rsidRPr="00995206">
        <w:rPr>
          <w:bCs/>
          <w:lang w:val="en-GB"/>
        </w:rPr>
        <w:t>of evidentiary material. I</w:t>
      </w:r>
      <w:r w:rsidRPr="00995206">
        <w:rPr>
          <w:bCs/>
          <w:lang w:val="en-GB"/>
        </w:rPr>
        <w:t xml:space="preserve">n this case, a witness, </w:t>
      </w:r>
      <w:r w:rsidR="001F3C49" w:rsidRPr="00995206">
        <w:rPr>
          <w:lang w:val="en-GB"/>
        </w:rPr>
        <w:t>D.G.</w:t>
      </w:r>
      <w:r w:rsidRPr="00995206">
        <w:rPr>
          <w:bCs/>
          <w:lang w:val="en-GB"/>
        </w:rPr>
        <w:t>, refused to meet with the police in relation to the investigation int</w:t>
      </w:r>
      <w:r w:rsidR="001F3C49" w:rsidRPr="00995206">
        <w:rPr>
          <w:bCs/>
          <w:lang w:val="en-GB"/>
        </w:rPr>
        <w:t xml:space="preserve">o </w:t>
      </w:r>
      <w:r w:rsidR="00995206">
        <w:rPr>
          <w:bCs/>
          <w:lang w:val="en-GB"/>
        </w:rPr>
        <w:t xml:space="preserve">the </w:t>
      </w:r>
      <w:r w:rsidR="001F3C49" w:rsidRPr="00995206">
        <w:rPr>
          <w:bCs/>
          <w:lang w:val="en-GB"/>
        </w:rPr>
        <w:t xml:space="preserve">abduction of </w:t>
      </w:r>
      <w:proofErr w:type="spellStart"/>
      <w:r w:rsidR="001F3C49" w:rsidRPr="00995206">
        <w:rPr>
          <w:bCs/>
          <w:lang w:val="en-GB"/>
        </w:rPr>
        <w:t>Šutaković</w:t>
      </w:r>
      <w:proofErr w:type="spellEnd"/>
      <w:r w:rsidR="001F3C49" w:rsidRPr="00995206">
        <w:rPr>
          <w:bCs/>
          <w:lang w:val="en-GB"/>
        </w:rPr>
        <w:t xml:space="preserve"> family. However, the contact had taken place in December 2004, almost five years after the event. Thus, the frustration of the witness, who was asked basic question about her relatives’ abduction such a long time after the event, is understandable. On the other hand, she did not live in </w:t>
      </w:r>
      <w:proofErr w:type="spellStart"/>
      <w:r w:rsidR="001F3C49" w:rsidRPr="00995206">
        <w:rPr>
          <w:bCs/>
        </w:rPr>
        <w:t>Gjakov</w:t>
      </w:r>
      <w:proofErr w:type="spellEnd"/>
      <w:r w:rsidR="001F3C49" w:rsidRPr="00995206">
        <w:rPr>
          <w:bCs/>
          <w:lang w:val="ru-RU"/>
        </w:rPr>
        <w:t>ё</w:t>
      </w:r>
      <w:r w:rsidR="001F3C49" w:rsidRPr="00995206">
        <w:rPr>
          <w:bCs/>
        </w:rPr>
        <w:t>/</w:t>
      </w:r>
      <w:proofErr w:type="spellStart"/>
      <w:proofErr w:type="gramStart"/>
      <w:r w:rsidR="001F3C49" w:rsidRPr="00995206">
        <w:rPr>
          <w:bCs/>
          <w:lang w:val="en-GB"/>
        </w:rPr>
        <w:t>Đakovica</w:t>
      </w:r>
      <w:proofErr w:type="spellEnd"/>
      <w:r w:rsidR="001F3C49" w:rsidRPr="00995206">
        <w:rPr>
          <w:bCs/>
          <w:lang w:val="en-GB"/>
        </w:rPr>
        <w:t>,</w:t>
      </w:r>
      <w:proofErr w:type="gramEnd"/>
      <w:r w:rsidR="001F3C49" w:rsidRPr="00995206">
        <w:rPr>
          <w:bCs/>
          <w:lang w:val="en-GB"/>
        </w:rPr>
        <w:t xml:space="preserve"> she was not the only witness in the </w:t>
      </w:r>
      <w:r w:rsidR="001F3C49" w:rsidRPr="006575FA">
        <w:rPr>
          <w:bCs/>
          <w:lang w:val="en-GB"/>
        </w:rPr>
        <w:t xml:space="preserve">case and was not an eye witness. However, no other, witnesses, </w:t>
      </w:r>
      <w:r w:rsidR="00995206" w:rsidRPr="006575FA">
        <w:rPr>
          <w:bCs/>
          <w:lang w:val="en-GB"/>
        </w:rPr>
        <w:t>who</w:t>
      </w:r>
      <w:r w:rsidR="001F3C49" w:rsidRPr="006575FA">
        <w:rPr>
          <w:bCs/>
          <w:lang w:val="en-GB"/>
        </w:rPr>
        <w:t xml:space="preserve"> probably possessed more valuable information, were interviewed.</w:t>
      </w:r>
    </w:p>
    <w:p w:rsidR="000B1FE4" w:rsidRPr="006575FA" w:rsidRDefault="000B1FE4" w:rsidP="000B1FE4">
      <w:pPr>
        <w:pStyle w:val="ColorfulList-Accent11"/>
        <w:rPr>
          <w:color w:val="000000"/>
          <w:lang w:val="en-GB"/>
        </w:rPr>
      </w:pPr>
    </w:p>
    <w:p w:rsidR="00D635B9" w:rsidRPr="006575FA" w:rsidRDefault="00D635B9" w:rsidP="00D635B9">
      <w:pPr>
        <w:numPr>
          <w:ilvl w:val="0"/>
          <w:numId w:val="2"/>
        </w:numPr>
        <w:tabs>
          <w:tab w:val="left" w:pos="709"/>
        </w:tabs>
        <w:suppressAutoHyphens/>
        <w:autoSpaceDE w:val="0"/>
        <w:ind w:left="450" w:hanging="450"/>
        <w:jc w:val="both"/>
        <w:rPr>
          <w:lang w:val="en-GB"/>
        </w:rPr>
      </w:pPr>
      <w:r w:rsidRPr="006575FA">
        <w:rPr>
          <w:lang w:val="en-GB"/>
        </w:rPr>
        <w:t xml:space="preserve">The Panel previously noted, in relation to another case, a frequently reported problem related to the lack of protection of witnesses in Kosovo from threats or intimidation, which </w:t>
      </w:r>
      <w:r w:rsidR="00FF0BB5" w:rsidRPr="006575FA">
        <w:rPr>
          <w:lang w:val="en-GB"/>
        </w:rPr>
        <w:t>“</w:t>
      </w:r>
      <w:r w:rsidRPr="006575FA">
        <w:rPr>
          <w:lang w:val="en-GB"/>
        </w:rPr>
        <w:t>has been, and remains, one of the greatest challenges for justice authorities”</w:t>
      </w:r>
      <w:r w:rsidRPr="006575FA">
        <w:rPr>
          <w:rStyle w:val="FootnoteReference"/>
          <w:lang w:val="en-GB"/>
        </w:rPr>
        <w:footnoteReference w:id="22"/>
      </w:r>
      <w:r w:rsidRPr="006575FA">
        <w:rPr>
          <w:lang w:val="en-GB"/>
        </w:rPr>
        <w:t>. Some observers note that the “[w]</w:t>
      </w:r>
      <w:proofErr w:type="spellStart"/>
      <w:r w:rsidRPr="006575FA">
        <w:rPr>
          <w:lang w:val="en-GB"/>
        </w:rPr>
        <w:t>itnesses</w:t>
      </w:r>
      <w:proofErr w:type="spellEnd"/>
      <w:r w:rsidRPr="006575FA">
        <w:rPr>
          <w:lang w:val="en-GB"/>
        </w:rPr>
        <w:t xml:space="preserve">, who in </w:t>
      </w:r>
      <w:r w:rsidRPr="006575FA">
        <w:rPr>
          <w:bCs/>
          <w:lang w:val="en-GB"/>
        </w:rPr>
        <w:t>many</w:t>
      </w:r>
      <w:r w:rsidRPr="006575FA">
        <w:rPr>
          <w:lang w:val="en-GB"/>
        </w:rPr>
        <w:t xml:space="preserve"> cases are crucial to linking defendants to the crimes for which they are accused, are becoming more reluctant to testify before institutions, be it police, prosecutors and/or judges in courts”</w:t>
      </w:r>
      <w:r w:rsidRPr="006575FA">
        <w:rPr>
          <w:rStyle w:val="FootnoteReference"/>
          <w:lang w:val="en-GB"/>
        </w:rPr>
        <w:footnoteReference w:id="23"/>
      </w:r>
      <w:r w:rsidR="00FF0BB5" w:rsidRPr="006575FA">
        <w:rPr>
          <w:lang w:val="en-GB"/>
        </w:rPr>
        <w:t xml:space="preserve"> (</w:t>
      </w:r>
      <w:r w:rsidR="00FF0BB5" w:rsidRPr="006575FA">
        <w:rPr>
          <w:bCs/>
          <w:color w:val="000000" w:themeColor="text1"/>
        </w:rPr>
        <w:t xml:space="preserve">see HRAP, </w:t>
      </w:r>
      <w:r w:rsidR="00FF0BB5" w:rsidRPr="006575FA">
        <w:rPr>
          <w:bCs/>
          <w:i/>
          <w:color w:val="000000" w:themeColor="text1"/>
        </w:rPr>
        <w:t>Mladenović</w:t>
      </w:r>
      <w:r w:rsidR="00FF0BB5" w:rsidRPr="006575FA">
        <w:rPr>
          <w:bCs/>
          <w:color w:val="000000" w:themeColor="text1"/>
        </w:rPr>
        <w:t>, no. 99/09, opinion of 26 June 2014, § 200).</w:t>
      </w:r>
      <w:r w:rsidR="00FF0BB5" w:rsidRPr="006575FA">
        <w:rPr>
          <w:lang w:val="en-GB"/>
        </w:rPr>
        <w:t xml:space="preserve"> </w:t>
      </w:r>
      <w:r w:rsidRPr="006575FA">
        <w:rPr>
          <w:lang w:val="en-GB"/>
        </w:rPr>
        <w:t>The Panel however also noted that in this particular case, the reasons for the refusal to meet the police are not known.</w:t>
      </w:r>
    </w:p>
    <w:p w:rsidR="00D635B9" w:rsidRPr="006575FA" w:rsidRDefault="00D635B9" w:rsidP="00F86AB9">
      <w:pPr>
        <w:pStyle w:val="ColorfulList-Accent11"/>
        <w:ind w:left="0"/>
        <w:rPr>
          <w:color w:val="000000"/>
          <w:lang w:val="en-GB"/>
        </w:rPr>
      </w:pPr>
    </w:p>
    <w:p w:rsidR="00C5394C" w:rsidRPr="006575FA" w:rsidRDefault="000B1FE4" w:rsidP="00C5394C">
      <w:pPr>
        <w:numPr>
          <w:ilvl w:val="0"/>
          <w:numId w:val="2"/>
        </w:numPr>
        <w:tabs>
          <w:tab w:val="num" w:pos="450"/>
          <w:tab w:val="left" w:pos="709"/>
        </w:tabs>
        <w:suppressAutoHyphens/>
        <w:autoSpaceDE w:val="0"/>
        <w:ind w:left="450" w:hanging="450"/>
        <w:jc w:val="both"/>
        <w:rPr>
          <w:color w:val="000000" w:themeColor="text1"/>
        </w:rPr>
      </w:pPr>
      <w:r w:rsidRPr="006575FA">
        <w:rPr>
          <w:color w:val="000000"/>
          <w:lang w:val="en-GB"/>
        </w:rPr>
        <w:t xml:space="preserve">The Panel </w:t>
      </w:r>
      <w:r w:rsidR="00A36B06" w:rsidRPr="006575FA">
        <w:rPr>
          <w:color w:val="000000"/>
          <w:lang w:val="en-GB"/>
        </w:rPr>
        <w:t>also reiterates</w:t>
      </w:r>
      <w:r w:rsidRPr="006575FA">
        <w:rPr>
          <w:color w:val="000000"/>
          <w:lang w:val="en-GB"/>
        </w:rPr>
        <w:t xml:space="preserve"> in this regard its position </w:t>
      </w:r>
      <w:r w:rsidR="00A36B06" w:rsidRPr="006575FA">
        <w:rPr>
          <w:bCs/>
          <w:color w:val="000000"/>
          <w:lang w:val="en-GB"/>
        </w:rPr>
        <w:t xml:space="preserve">expressed in many other cases </w:t>
      </w:r>
      <w:r w:rsidR="00663D50" w:rsidRPr="006575FA">
        <w:rPr>
          <w:bCs/>
          <w:color w:val="000000"/>
          <w:lang w:val="en-GB"/>
        </w:rPr>
        <w:t>about the</w:t>
      </w:r>
      <w:r w:rsidR="00A36B06" w:rsidRPr="006575FA">
        <w:rPr>
          <w:bCs/>
          <w:color w:val="000000"/>
          <w:lang w:val="en-GB"/>
        </w:rPr>
        <w:t xml:space="preserve"> adequacy of the investigation into the abductions, disappearances, killings and suspicious deaths </w:t>
      </w:r>
      <w:r w:rsidRPr="006575FA">
        <w:rPr>
          <w:color w:val="000000"/>
          <w:lang w:val="en-GB"/>
        </w:rPr>
        <w:t xml:space="preserve">in relation </w:t>
      </w:r>
      <w:r w:rsidRPr="006575FA">
        <w:rPr>
          <w:color w:val="000000"/>
        </w:rPr>
        <w:t>to</w:t>
      </w:r>
      <w:r w:rsidRPr="006575FA">
        <w:rPr>
          <w:color w:val="000000"/>
          <w:lang w:val="en-GB"/>
        </w:rPr>
        <w:t xml:space="preserve"> the categorisation of cases into “active” and “inactive”</w:t>
      </w:r>
      <w:r w:rsidR="00A36B06" w:rsidRPr="006575FA">
        <w:rPr>
          <w:color w:val="000000"/>
          <w:lang w:val="en-GB"/>
        </w:rPr>
        <w:t xml:space="preserve">. </w:t>
      </w:r>
      <w:r w:rsidR="00A36B06" w:rsidRPr="006575FA">
        <w:rPr>
          <w:bCs/>
          <w:color w:val="000000"/>
          <w:lang w:val="en-GB"/>
        </w:rPr>
        <w:t>In those cases the Panel underlined that</w:t>
      </w:r>
      <w:r w:rsidRPr="006575FA">
        <w:rPr>
          <w:color w:val="000000"/>
          <w:lang w:val="en-GB"/>
        </w:rPr>
        <w:t xml:space="preserve"> any </w:t>
      </w:r>
      <w:r w:rsidRPr="006575FA">
        <w:rPr>
          <w:bCs/>
          <w:color w:val="000000"/>
          <w:lang w:val="en-GB"/>
        </w:rPr>
        <w:t xml:space="preserve">“categorisation of an investigation should take place only after the </w:t>
      </w:r>
      <w:r w:rsidRPr="006575FA">
        <w:rPr>
          <w:color w:val="000000"/>
          <w:lang w:val="en-GB"/>
        </w:rPr>
        <w:t>minimum</w:t>
      </w:r>
      <w:r w:rsidRPr="006575FA">
        <w:rPr>
          <w:bCs/>
          <w:color w:val="000000"/>
          <w:lang w:val="en-GB"/>
        </w:rPr>
        <w:t xml:space="preserve"> </w:t>
      </w:r>
      <w:r w:rsidRPr="006575FA">
        <w:rPr>
          <w:color w:val="000000"/>
        </w:rPr>
        <w:t>possible</w:t>
      </w:r>
      <w:r w:rsidRPr="006575FA">
        <w:rPr>
          <w:bCs/>
          <w:color w:val="000000"/>
          <w:lang w:val="en-GB"/>
        </w:rPr>
        <w:t xml:space="preserve"> </w:t>
      </w:r>
      <w:r w:rsidRPr="006575FA">
        <w:rPr>
          <w:bCs/>
          <w:lang w:val="en-GB"/>
        </w:rPr>
        <w:t>investigative</w:t>
      </w:r>
      <w:r w:rsidRPr="006575FA">
        <w:rPr>
          <w:bCs/>
          <w:color w:val="000000"/>
          <w:lang w:val="en-GB"/>
        </w:rPr>
        <w:t xml:space="preserve"> actions have been undertaken and obtainable information has been collected and analysed” </w:t>
      </w:r>
      <w:r w:rsidRPr="006575FA">
        <w:rPr>
          <w:color w:val="000000"/>
          <w:lang w:val="en-GB"/>
        </w:rPr>
        <w:t xml:space="preserve">(see e.g. HRAP, </w:t>
      </w:r>
      <w:r w:rsidRPr="006575FA">
        <w:rPr>
          <w:i/>
          <w:color w:val="000000"/>
          <w:lang w:val="en-GB"/>
        </w:rPr>
        <w:t>B.A</w:t>
      </w:r>
      <w:r w:rsidRPr="006575FA">
        <w:rPr>
          <w:color w:val="000000"/>
          <w:lang w:val="en-GB"/>
        </w:rPr>
        <w:t>., no. 52/09, opinion of 14 February 2013, § 82).</w:t>
      </w:r>
      <w:r w:rsidR="00F86AB9" w:rsidRPr="006575FA">
        <w:rPr>
          <w:color w:val="000000"/>
          <w:lang w:val="en-GB"/>
        </w:rPr>
        <w:t xml:space="preserve"> The Panel cannot accept that the </w:t>
      </w:r>
      <w:r w:rsidR="00663D50" w:rsidRPr="006575FA">
        <w:rPr>
          <w:color w:val="000000"/>
          <w:lang w:val="en-GB"/>
        </w:rPr>
        <w:t>crimes</w:t>
      </w:r>
      <w:r w:rsidR="00F86AB9" w:rsidRPr="006575FA">
        <w:rPr>
          <w:color w:val="000000"/>
          <w:lang w:val="en-GB"/>
        </w:rPr>
        <w:t xml:space="preserve"> of such a scale </w:t>
      </w:r>
      <w:r w:rsidR="00663D50" w:rsidRPr="006575FA">
        <w:rPr>
          <w:color w:val="000000"/>
          <w:lang w:val="en-GB"/>
        </w:rPr>
        <w:t xml:space="preserve">as those in the present case </w:t>
      </w:r>
      <w:r w:rsidR="00F86AB9" w:rsidRPr="006575FA">
        <w:rPr>
          <w:color w:val="000000"/>
          <w:lang w:val="en-GB"/>
        </w:rPr>
        <w:t xml:space="preserve">could be considered </w:t>
      </w:r>
      <w:r w:rsidR="00663D50" w:rsidRPr="006575FA">
        <w:rPr>
          <w:color w:val="000000"/>
          <w:lang w:val="en-GB"/>
        </w:rPr>
        <w:t xml:space="preserve">as </w:t>
      </w:r>
      <w:r w:rsidR="00F86AB9" w:rsidRPr="006575FA">
        <w:rPr>
          <w:color w:val="000000"/>
          <w:lang w:val="en-GB"/>
        </w:rPr>
        <w:t xml:space="preserve">a “low priority”. </w:t>
      </w:r>
      <w:r w:rsidR="00C5394C" w:rsidRPr="006575FA">
        <w:rPr>
          <w:bCs/>
          <w:color w:val="000000" w:themeColor="text1"/>
        </w:rPr>
        <w:t xml:space="preserve">In addition, the Panel fears that such inaction indicates </w:t>
      </w:r>
      <w:r w:rsidR="00627CA5" w:rsidRPr="006575FA">
        <w:rPr>
          <w:bCs/>
          <w:color w:val="000000" w:themeColor="text1"/>
        </w:rPr>
        <w:t>certain</w:t>
      </w:r>
      <w:r w:rsidR="00C5394C" w:rsidRPr="006575FA">
        <w:rPr>
          <w:bCs/>
          <w:color w:val="000000" w:themeColor="text1"/>
        </w:rPr>
        <w:t xml:space="preserve"> reluctance on the part of UNMIK Police to pursue the investigation</w:t>
      </w:r>
      <w:r w:rsidR="00627CA5" w:rsidRPr="006575FA">
        <w:rPr>
          <w:bCs/>
          <w:color w:val="000000" w:themeColor="text1"/>
        </w:rPr>
        <w:t xml:space="preserve">s </w:t>
      </w:r>
      <w:r w:rsidR="00C5394C" w:rsidRPr="006575FA">
        <w:rPr>
          <w:bCs/>
          <w:color w:val="000000" w:themeColor="text1"/>
        </w:rPr>
        <w:t xml:space="preserve">when there were indications of </w:t>
      </w:r>
      <w:r w:rsidR="00627CA5" w:rsidRPr="006575FA">
        <w:rPr>
          <w:bCs/>
          <w:color w:val="000000" w:themeColor="text1"/>
        </w:rPr>
        <w:t>ethnically</w:t>
      </w:r>
      <w:r w:rsidR="00C5394C" w:rsidRPr="006575FA">
        <w:rPr>
          <w:bCs/>
          <w:color w:val="000000" w:themeColor="text1"/>
        </w:rPr>
        <w:t xml:space="preserve"> motivated violence pointing towards persons associated with the KLA</w:t>
      </w:r>
      <w:r w:rsidR="00627CA5" w:rsidRPr="006575FA">
        <w:rPr>
          <w:bCs/>
          <w:color w:val="000000" w:themeColor="text1"/>
        </w:rPr>
        <w:t xml:space="preserve"> (see HRAP, </w:t>
      </w:r>
      <w:proofErr w:type="spellStart"/>
      <w:r w:rsidR="00510512" w:rsidRPr="006575FA">
        <w:rPr>
          <w:bCs/>
          <w:i/>
          <w:color w:val="000000" w:themeColor="text1"/>
        </w:rPr>
        <w:t>Janković</w:t>
      </w:r>
      <w:proofErr w:type="spellEnd"/>
      <w:r w:rsidR="00627CA5" w:rsidRPr="006575FA">
        <w:rPr>
          <w:bCs/>
          <w:color w:val="000000" w:themeColor="text1"/>
        </w:rPr>
        <w:t>, no</w:t>
      </w:r>
      <w:r w:rsidR="00FF0BB5" w:rsidRPr="006575FA">
        <w:rPr>
          <w:bCs/>
          <w:color w:val="000000" w:themeColor="text1"/>
        </w:rPr>
        <w:t>.</w:t>
      </w:r>
      <w:r w:rsidR="00627CA5" w:rsidRPr="006575FA">
        <w:rPr>
          <w:bCs/>
          <w:color w:val="000000" w:themeColor="text1"/>
        </w:rPr>
        <w:t xml:space="preserve"> 249/09, opinion of 16 October 2014, § 108)</w:t>
      </w:r>
      <w:r w:rsidR="00C5394C" w:rsidRPr="006575FA">
        <w:rPr>
          <w:bCs/>
          <w:color w:val="000000" w:themeColor="text1"/>
        </w:rPr>
        <w:t>.</w:t>
      </w:r>
    </w:p>
    <w:p w:rsidR="00A36B06" w:rsidRPr="006575FA" w:rsidRDefault="00A36B06" w:rsidP="00A36B06">
      <w:pPr>
        <w:tabs>
          <w:tab w:val="left" w:pos="709"/>
        </w:tabs>
        <w:suppressAutoHyphens/>
        <w:autoSpaceDE w:val="0"/>
        <w:ind w:left="450"/>
        <w:jc w:val="both"/>
        <w:rPr>
          <w:bCs/>
          <w:color w:val="000000"/>
          <w:lang w:val="en-GB"/>
        </w:rPr>
      </w:pPr>
    </w:p>
    <w:p w:rsidR="000B1FE4" w:rsidRPr="00C5394C" w:rsidRDefault="000B1FE4" w:rsidP="000B1FE4">
      <w:pPr>
        <w:numPr>
          <w:ilvl w:val="0"/>
          <w:numId w:val="2"/>
        </w:numPr>
        <w:tabs>
          <w:tab w:val="left" w:pos="709"/>
        </w:tabs>
        <w:suppressAutoHyphens/>
        <w:autoSpaceDE w:val="0"/>
        <w:ind w:left="450" w:hanging="450"/>
        <w:jc w:val="both"/>
        <w:rPr>
          <w:color w:val="000000"/>
        </w:rPr>
      </w:pPr>
      <w:r w:rsidRPr="006575FA">
        <w:rPr>
          <w:color w:val="000000"/>
          <w:lang w:val="en-GB"/>
        </w:rPr>
        <w:t>The Panel is conscious of the</w:t>
      </w:r>
      <w:r w:rsidRPr="00EE6125">
        <w:rPr>
          <w:color w:val="000000"/>
          <w:lang w:val="en-GB"/>
        </w:rPr>
        <w:t xml:space="preserve"> fact that not all crimes can be solved and not all investigations </w:t>
      </w:r>
      <w:r w:rsidR="000E7BBA">
        <w:rPr>
          <w:color w:val="000000"/>
          <w:lang w:val="en-GB"/>
        </w:rPr>
        <w:t xml:space="preserve">can </w:t>
      </w:r>
      <w:r w:rsidRPr="00EE6125">
        <w:rPr>
          <w:color w:val="000000"/>
          <w:lang w:val="en-GB"/>
        </w:rPr>
        <w:t xml:space="preserve">lead to identification and prosecution of the perpetrator[s]. The Panel has already referred above to the position of the European Court with regard to the nature of the procedural obligation under Article 2, which is “not an obligation of results but of means.” The Court clearly states that no violation of Article 2 exists if the authorities take all reasonable steps </w:t>
      </w:r>
      <w:r w:rsidRPr="00C5394C">
        <w:rPr>
          <w:color w:val="000000"/>
          <w:lang w:val="en-GB"/>
        </w:rPr>
        <w:t xml:space="preserve">they can to secure the evidence concerning an incident and the investigation’s conclusion is based on thorough, objective and impartial analysis of all relevant elements (see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Pr="00C5394C">
        <w:rPr>
          <w:color w:val="000000"/>
        </w:rPr>
        <w:t xml:space="preserve"> </w:t>
      </w:r>
      <w:r w:rsidRPr="00C5394C">
        <w:rPr>
          <w:color w:val="000000"/>
          <w:lang w:val="en-GB"/>
        </w:rPr>
        <w:t xml:space="preserve">- </w:t>
      </w:r>
      <w:r w:rsidR="0037719A">
        <w:fldChar w:fldCharType="begin"/>
      </w:r>
      <w:r w:rsidR="0037719A">
        <w:instrText xml:space="preserve"> REF _Ref401160939 \r \h  \* MERGEFORMAT </w:instrText>
      </w:r>
      <w:r w:rsidR="0037719A">
        <w:fldChar w:fldCharType="separate"/>
      </w:r>
      <w:r w:rsidR="00A35759" w:rsidRPr="00A35759">
        <w:rPr>
          <w:color w:val="000000"/>
          <w:lang w:val="en-GB"/>
        </w:rPr>
        <w:t>160</w:t>
      </w:r>
      <w:r w:rsidR="0037719A">
        <w:fldChar w:fldCharType="end"/>
      </w:r>
      <w:r w:rsidR="00645C66" w:rsidRPr="00C5394C">
        <w:rPr>
          <w:color w:val="000000"/>
          <w:lang w:val="en-GB"/>
        </w:rPr>
        <w:t xml:space="preserve"> </w:t>
      </w:r>
      <w:r w:rsidRPr="00C5394C">
        <w:rPr>
          <w:color w:val="000000"/>
          <w:lang w:val="en-GB"/>
        </w:rPr>
        <w:t xml:space="preserve">above), even when no perpetrators are convicted (see e.g. ECtHR case </w:t>
      </w:r>
      <w:r w:rsidRPr="00C5394C">
        <w:rPr>
          <w:i/>
          <w:color w:val="000000"/>
          <w:lang w:val="en-GB"/>
        </w:rPr>
        <w:t>Palić</w:t>
      </w:r>
      <w:r w:rsidRPr="00C5394C">
        <w:rPr>
          <w:color w:val="000000"/>
          <w:lang w:val="en-GB"/>
        </w:rPr>
        <w:t xml:space="preserve">, cited in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Pr="00C5394C">
        <w:rPr>
          <w:color w:val="000000"/>
          <w:lang w:val="en-GB"/>
        </w:rPr>
        <w:t xml:space="preserve"> above, at § 65 or ECtHR [GC</w:t>
      </w:r>
      <w:r w:rsidRPr="00C5394C">
        <w:rPr>
          <w:color w:val="000000"/>
        </w:rPr>
        <w:t xml:space="preserve">], </w:t>
      </w:r>
      <w:r w:rsidRPr="00C5394C">
        <w:rPr>
          <w:i/>
          <w:color w:val="000000"/>
        </w:rPr>
        <w:t xml:space="preserve">Giuliani and </w:t>
      </w:r>
      <w:proofErr w:type="spellStart"/>
      <w:r w:rsidRPr="00C5394C">
        <w:rPr>
          <w:i/>
          <w:color w:val="000000"/>
        </w:rPr>
        <w:t>Gaggio</w:t>
      </w:r>
      <w:proofErr w:type="spellEnd"/>
      <w:r w:rsidRPr="00C5394C">
        <w:rPr>
          <w:i/>
          <w:color w:val="000000"/>
        </w:rPr>
        <w:t xml:space="preserve"> v. Italy</w:t>
      </w:r>
      <w:r w:rsidRPr="00C5394C">
        <w:rPr>
          <w:color w:val="000000"/>
        </w:rPr>
        <w:t>, no 23458/02, judgment of 24 March 2011, §§ 301 and 326).</w:t>
      </w:r>
      <w:r w:rsidRPr="00C5394C">
        <w:rPr>
          <w:color w:val="000000"/>
          <w:lang w:val="en-GB"/>
        </w:rPr>
        <w:t xml:space="preserve"> In this respect, the Panel also recalls the position of the European Court that “the authorities </w:t>
      </w:r>
      <w:r w:rsidRPr="00C5394C">
        <w:rPr>
          <w:rStyle w:val="sb8d990e2"/>
          <w:color w:val="000000"/>
        </w:rPr>
        <w:t xml:space="preserve">always make a serious attempt to find out what happened and should not rely on hasty or ill-founded conclusions to close their investigation” </w:t>
      </w:r>
      <w:r w:rsidRPr="00C5394C">
        <w:rPr>
          <w:bCs/>
          <w:color w:val="000000"/>
          <w:lang w:val="en-GB"/>
        </w:rPr>
        <w:t xml:space="preserve">(see § </w:t>
      </w:r>
      <w:r w:rsidR="0037719A">
        <w:fldChar w:fldCharType="begin"/>
      </w:r>
      <w:r w:rsidR="0037719A">
        <w:instrText xml:space="preserve"> REF _Ref401160939 \r \h  \* MERGEFORMAT </w:instrText>
      </w:r>
      <w:r w:rsidR="0037719A">
        <w:fldChar w:fldCharType="separate"/>
      </w:r>
      <w:r w:rsidR="00A35759" w:rsidRPr="00A35759">
        <w:rPr>
          <w:color w:val="000000"/>
          <w:lang w:val="en-GB"/>
        </w:rPr>
        <w:t>160</w:t>
      </w:r>
      <w:r w:rsidR="0037719A">
        <w:fldChar w:fldCharType="end"/>
      </w:r>
      <w:r w:rsidRPr="00C5394C">
        <w:rPr>
          <w:bCs/>
          <w:color w:val="000000"/>
          <w:lang w:val="en-GB"/>
        </w:rPr>
        <w:t xml:space="preserve"> above).</w:t>
      </w:r>
    </w:p>
    <w:p w:rsidR="000B1FE4" w:rsidRPr="00C5394C" w:rsidRDefault="000B1FE4" w:rsidP="000B1FE4">
      <w:pPr>
        <w:pStyle w:val="ColorfulList-Accent11"/>
        <w:rPr>
          <w:color w:val="FF0000"/>
        </w:rPr>
      </w:pPr>
    </w:p>
    <w:p w:rsidR="000B1FE4" w:rsidRPr="00C5394C" w:rsidRDefault="000B1FE4" w:rsidP="000B1FE4">
      <w:pPr>
        <w:numPr>
          <w:ilvl w:val="0"/>
          <w:numId w:val="2"/>
        </w:numPr>
        <w:tabs>
          <w:tab w:val="left" w:pos="709"/>
        </w:tabs>
        <w:suppressAutoHyphens/>
        <w:autoSpaceDE w:val="0"/>
        <w:ind w:left="450" w:hanging="450"/>
        <w:jc w:val="both"/>
        <w:rPr>
          <w:color w:val="000000"/>
          <w:lang w:val="en-GB"/>
        </w:rPr>
      </w:pPr>
      <w:bookmarkStart w:id="99" w:name="_Ref403724370"/>
      <w:r w:rsidRPr="00C5394C">
        <w:rPr>
          <w:color w:val="000000"/>
        </w:rPr>
        <w:t>However, in this case, before any minimum substantive action was undertaken and any information collected, the investigation</w:t>
      </w:r>
      <w:r w:rsidR="00645C66" w:rsidRPr="00C5394C">
        <w:rPr>
          <w:color w:val="000000"/>
        </w:rPr>
        <w:t>s</w:t>
      </w:r>
      <w:r w:rsidRPr="00C5394C">
        <w:rPr>
          <w:color w:val="000000"/>
          <w:lang w:val="en-GB"/>
        </w:rPr>
        <w:t xml:space="preserve"> </w:t>
      </w:r>
      <w:r w:rsidR="00645C66" w:rsidRPr="00C5394C">
        <w:rPr>
          <w:color w:val="000000"/>
          <w:lang w:val="en-GB"/>
        </w:rPr>
        <w:t>were de-facto suspended, pending new information to appear</w:t>
      </w:r>
      <w:r w:rsidRPr="00C5394C">
        <w:rPr>
          <w:color w:val="000000"/>
          <w:lang w:val="en-GB"/>
        </w:rPr>
        <w:t xml:space="preserve">, and subsequently </w:t>
      </w:r>
      <w:r w:rsidRPr="00C5394C">
        <w:rPr>
          <w:color w:val="000000"/>
        </w:rPr>
        <w:t>stayed without any action for the years to come.</w:t>
      </w:r>
      <w:bookmarkEnd w:id="99"/>
    </w:p>
    <w:p w:rsidR="00645C66" w:rsidRPr="00C5394C" w:rsidRDefault="00645C66" w:rsidP="00645C66">
      <w:pPr>
        <w:pStyle w:val="ColorfulList-Accent11"/>
        <w:rPr>
          <w:color w:val="000000"/>
          <w:lang w:val="en-GB"/>
        </w:rPr>
      </w:pPr>
    </w:p>
    <w:p w:rsidR="000B1FE4" w:rsidRPr="00C5394C" w:rsidRDefault="000B1FE4" w:rsidP="000B1FE4">
      <w:pPr>
        <w:numPr>
          <w:ilvl w:val="0"/>
          <w:numId w:val="2"/>
        </w:numPr>
        <w:tabs>
          <w:tab w:val="left" w:pos="709"/>
        </w:tabs>
        <w:suppressAutoHyphens/>
        <w:autoSpaceDE w:val="0"/>
        <w:ind w:left="450" w:hanging="450"/>
        <w:jc w:val="both"/>
        <w:rPr>
          <w:bCs/>
          <w:color w:val="000000"/>
          <w:lang w:val="en-GB"/>
        </w:rPr>
      </w:pPr>
      <w:r w:rsidRPr="00C5394C">
        <w:rPr>
          <w:color w:val="000000"/>
          <w:lang w:val="en-GB"/>
        </w:rPr>
        <w:t>Coming to the period within its jurisdiction, starting from 23 April 2005, the Panel notes that</w:t>
      </w:r>
      <w:r w:rsidR="000E7BBA" w:rsidRPr="00C5394C">
        <w:rPr>
          <w:color w:val="000000"/>
          <w:lang w:val="en-GB"/>
        </w:rPr>
        <w:t>,</w:t>
      </w:r>
      <w:r w:rsidRPr="00C5394C">
        <w:rPr>
          <w:color w:val="000000"/>
          <w:lang w:val="en-GB"/>
        </w:rPr>
        <w:t xml:space="preserve"> after that critical date</w:t>
      </w:r>
      <w:r w:rsidR="000E7BBA" w:rsidRPr="00C5394C">
        <w:rPr>
          <w:color w:val="000000"/>
          <w:lang w:val="en-GB"/>
        </w:rPr>
        <w:t>,</w:t>
      </w:r>
      <w:r w:rsidRPr="00C5394C">
        <w:rPr>
          <w:color w:val="000000"/>
          <w:lang w:val="en-GB"/>
        </w:rPr>
        <w:t xml:space="preserve"> the failure to conduct the necessary investigative actions, including those at the initial stage, persisted. Accordingly, inadequacies existing up until that date were not addressed</w:t>
      </w:r>
      <w:r w:rsidR="000E7BBA" w:rsidRPr="00C5394C">
        <w:rPr>
          <w:color w:val="000000"/>
          <w:lang w:val="en-GB"/>
        </w:rPr>
        <w:t xml:space="preserve"> neither corrected</w:t>
      </w:r>
      <w:r w:rsidRPr="00C5394C">
        <w:rPr>
          <w:color w:val="000000"/>
          <w:lang w:val="en-GB"/>
        </w:rPr>
        <w:t xml:space="preserve">. </w:t>
      </w:r>
      <w:r w:rsidR="000E7BBA" w:rsidRPr="00C5394C">
        <w:rPr>
          <w:bCs/>
          <w:color w:val="000000"/>
          <w:lang w:val="en-GB"/>
        </w:rPr>
        <w:t>I</w:t>
      </w:r>
      <w:r w:rsidRPr="00C5394C">
        <w:rPr>
          <w:color w:val="000000"/>
          <w:lang w:val="en-GB"/>
        </w:rPr>
        <w:t>n accordance with the continuing obligation to investigate, the assessment of the whole investigation is brought within the period of the Panel’s jurisdiction.</w:t>
      </w:r>
    </w:p>
    <w:p w:rsidR="000B1FE4" w:rsidRPr="00C5394C" w:rsidRDefault="000B1FE4" w:rsidP="000B1FE4">
      <w:pPr>
        <w:pStyle w:val="ColorfulList-Accent11"/>
        <w:rPr>
          <w:bCs/>
          <w:color w:val="000000"/>
          <w:lang w:val="en-GB"/>
        </w:rPr>
      </w:pPr>
    </w:p>
    <w:p w:rsidR="000B1FE4" w:rsidRPr="00C5394C" w:rsidRDefault="000B1FE4" w:rsidP="000B1FE4">
      <w:pPr>
        <w:numPr>
          <w:ilvl w:val="0"/>
          <w:numId w:val="2"/>
        </w:numPr>
        <w:tabs>
          <w:tab w:val="left" w:pos="709"/>
        </w:tabs>
        <w:suppressAutoHyphens/>
        <w:autoSpaceDE w:val="0"/>
        <w:ind w:left="450" w:hanging="450"/>
        <w:jc w:val="both"/>
        <w:rPr>
          <w:bCs/>
          <w:color w:val="000000"/>
          <w:lang w:val="en-GB"/>
        </w:rPr>
      </w:pPr>
      <w:r w:rsidRPr="00C5394C">
        <w:rPr>
          <w:bCs/>
          <w:color w:val="000000"/>
          <w:lang w:val="en-GB"/>
        </w:rPr>
        <w:t>As already noted, from the suspension of this investigation in 200</w:t>
      </w:r>
      <w:r w:rsidR="0037359C" w:rsidRPr="00C5394C">
        <w:rPr>
          <w:bCs/>
          <w:color w:val="000000"/>
          <w:lang w:val="en-GB"/>
        </w:rPr>
        <w:t>4 and 2005, except for adding some information from the criminal reports to International Prosecutors to the database</w:t>
      </w:r>
      <w:r w:rsidR="00F86AB9" w:rsidRPr="00C5394C">
        <w:rPr>
          <w:bCs/>
          <w:color w:val="000000"/>
          <w:lang w:val="en-GB"/>
        </w:rPr>
        <w:t>,</w:t>
      </w:r>
      <w:r w:rsidR="000E7BBA" w:rsidRPr="00C5394C">
        <w:rPr>
          <w:bCs/>
          <w:color w:val="000000"/>
          <w:lang w:val="en-GB"/>
        </w:rPr>
        <w:t xml:space="preserve"> </w:t>
      </w:r>
      <w:r w:rsidR="0037359C" w:rsidRPr="00C5394C">
        <w:rPr>
          <w:bCs/>
          <w:color w:val="000000"/>
          <w:lang w:val="en-GB"/>
        </w:rPr>
        <w:t xml:space="preserve">in 2005 (see § </w:t>
      </w:r>
      <w:r w:rsidR="0037719A">
        <w:fldChar w:fldCharType="begin"/>
      </w:r>
      <w:r w:rsidR="0037719A">
        <w:instrText xml:space="preserve"> REF _Ref404707022 \r \h  \* MERGEFORMAT </w:instrText>
      </w:r>
      <w:r w:rsidR="0037719A">
        <w:fldChar w:fldCharType="separate"/>
      </w:r>
      <w:r w:rsidR="00A35759" w:rsidRPr="00A35759">
        <w:rPr>
          <w:bCs/>
          <w:color w:val="000000"/>
          <w:lang w:val="en-GB"/>
        </w:rPr>
        <w:t>102</w:t>
      </w:r>
      <w:r w:rsidR="0037719A">
        <w:fldChar w:fldCharType="end"/>
      </w:r>
      <w:r w:rsidR="0037359C" w:rsidRPr="00C5394C">
        <w:rPr>
          <w:bCs/>
          <w:color w:val="000000"/>
          <w:lang w:val="en-GB"/>
        </w:rPr>
        <w:t xml:space="preserve"> above), and a review</w:t>
      </w:r>
      <w:r w:rsidRPr="00C5394C">
        <w:rPr>
          <w:bCs/>
          <w:color w:val="000000"/>
          <w:lang w:val="en-GB"/>
        </w:rPr>
        <w:t xml:space="preserve"> </w:t>
      </w:r>
      <w:r w:rsidR="0037359C" w:rsidRPr="00C5394C">
        <w:rPr>
          <w:bCs/>
          <w:color w:val="000000"/>
          <w:lang w:val="en-GB"/>
        </w:rPr>
        <w:t xml:space="preserve">by WCIU </w:t>
      </w:r>
      <w:r w:rsidRPr="00C5394C">
        <w:rPr>
          <w:bCs/>
          <w:color w:val="000000"/>
          <w:lang w:val="en-GB"/>
        </w:rPr>
        <w:t xml:space="preserve">in 2007 (see § </w:t>
      </w:r>
      <w:r w:rsidR="0037719A">
        <w:fldChar w:fldCharType="begin"/>
      </w:r>
      <w:r w:rsidR="0037719A">
        <w:instrText xml:space="preserve"> REF _Ref404706915 \r \h  \* MERGEFORMAT </w:instrText>
      </w:r>
      <w:r w:rsidR="0037719A">
        <w:fldChar w:fldCharType="separate"/>
      </w:r>
      <w:r w:rsidR="00A35759" w:rsidRPr="00A35759">
        <w:rPr>
          <w:bCs/>
          <w:color w:val="000000"/>
          <w:lang w:val="en-GB"/>
        </w:rPr>
        <w:t>101</w:t>
      </w:r>
      <w:r w:rsidR="0037719A">
        <w:fldChar w:fldCharType="end"/>
      </w:r>
      <w:r w:rsidR="0037359C" w:rsidRPr="00C5394C">
        <w:rPr>
          <w:bCs/>
          <w:color w:val="000000"/>
          <w:lang w:val="en-GB"/>
        </w:rPr>
        <w:t xml:space="preserve"> </w:t>
      </w:r>
      <w:r w:rsidRPr="00C5394C">
        <w:rPr>
          <w:bCs/>
          <w:color w:val="000000"/>
          <w:lang w:val="en-GB"/>
        </w:rPr>
        <w:t>above), no action was taken on this case within the period of the Panel’s temporal jurisdiction.</w:t>
      </w:r>
    </w:p>
    <w:p w:rsidR="000B1FE4" w:rsidRPr="00995206" w:rsidRDefault="000B1FE4" w:rsidP="000B1FE4">
      <w:pPr>
        <w:pStyle w:val="ColorfulList-Accent11"/>
        <w:tabs>
          <w:tab w:val="left" w:pos="3410"/>
        </w:tabs>
        <w:rPr>
          <w:color w:val="000000"/>
          <w:lang w:val="en-GB"/>
        </w:rPr>
      </w:pPr>
    </w:p>
    <w:p w:rsidR="00454216" w:rsidRPr="00995206" w:rsidRDefault="000B1FE4" w:rsidP="00454216">
      <w:pPr>
        <w:numPr>
          <w:ilvl w:val="0"/>
          <w:numId w:val="2"/>
        </w:numPr>
        <w:tabs>
          <w:tab w:val="left" w:pos="709"/>
        </w:tabs>
        <w:suppressAutoHyphens/>
        <w:autoSpaceDE w:val="0"/>
        <w:ind w:left="450" w:hanging="450"/>
        <w:jc w:val="both"/>
        <w:rPr>
          <w:lang w:val="en-GB"/>
        </w:rPr>
      </w:pPr>
      <w:bookmarkStart w:id="100" w:name="_Ref404765195"/>
      <w:r w:rsidRPr="00995206">
        <w:rPr>
          <w:color w:val="000000"/>
          <w:lang w:val="en-GB"/>
        </w:rPr>
        <w:t xml:space="preserve">As the fate of </w:t>
      </w:r>
      <w:r w:rsidR="0037359C" w:rsidRPr="00995206">
        <w:rPr>
          <w:color w:val="000000"/>
          <w:lang w:val="en-GB"/>
        </w:rPr>
        <w:t xml:space="preserve">any of the complainants’ family members </w:t>
      </w:r>
      <w:r w:rsidRPr="00995206">
        <w:rPr>
          <w:color w:val="000000"/>
          <w:lang w:val="en-GB"/>
        </w:rPr>
        <w:t xml:space="preserve">had not been established, UNMIK Police was obliged to use the means at their disposal to regularly review the progress of the </w:t>
      </w:r>
      <w:r w:rsidRPr="00995206">
        <w:rPr>
          <w:bCs/>
          <w:color w:val="000000"/>
          <w:lang w:val="en-GB"/>
        </w:rPr>
        <w:lastRenderedPageBreak/>
        <w:t>investigation</w:t>
      </w:r>
      <w:r w:rsidR="000E7BBA" w:rsidRPr="00995206">
        <w:rPr>
          <w:bCs/>
          <w:color w:val="000000"/>
          <w:lang w:val="en-GB"/>
        </w:rPr>
        <w:t xml:space="preserve"> in order</w:t>
      </w:r>
      <w:r w:rsidRPr="00995206">
        <w:rPr>
          <w:color w:val="000000"/>
          <w:lang w:val="en-GB"/>
        </w:rPr>
        <w:t xml:space="preserve"> to </w:t>
      </w:r>
      <w:r w:rsidRPr="00995206">
        <w:rPr>
          <w:color w:val="000000"/>
        </w:rPr>
        <w:t>ensure</w:t>
      </w:r>
      <w:r w:rsidRPr="00995206">
        <w:rPr>
          <w:color w:val="000000"/>
          <w:lang w:val="en-GB"/>
        </w:rPr>
        <w:t xml:space="preserve"> that nothing had been overlooked and any new evidence had </w:t>
      </w:r>
      <w:r w:rsidRPr="00995206">
        <w:rPr>
          <w:lang w:val="en-GB"/>
        </w:rPr>
        <w:t xml:space="preserve">been considered, as well as to inform their relatives regarding the progress of this investigation. As </w:t>
      </w:r>
      <w:r w:rsidR="0037359C" w:rsidRPr="00995206">
        <w:rPr>
          <w:lang w:val="en-GB"/>
        </w:rPr>
        <w:t xml:space="preserve">mentioned above, </w:t>
      </w:r>
      <w:r w:rsidR="00454216" w:rsidRPr="00995206">
        <w:rPr>
          <w:lang w:val="en-GB"/>
        </w:rPr>
        <w:t xml:space="preserve">the separate MPU investigations had been reviewed once each: the case of </w:t>
      </w:r>
      <w:proofErr w:type="spellStart"/>
      <w:r w:rsidR="00454216" w:rsidRPr="00995206">
        <w:rPr>
          <w:lang w:val="en-GB"/>
        </w:rPr>
        <w:t>Šutaković</w:t>
      </w:r>
      <w:proofErr w:type="spellEnd"/>
      <w:r w:rsidR="00454216" w:rsidRPr="00995206">
        <w:rPr>
          <w:lang w:val="en-GB"/>
        </w:rPr>
        <w:t xml:space="preserve"> in December 2004 (see §§ </w:t>
      </w:r>
      <w:r w:rsidR="0037719A">
        <w:fldChar w:fldCharType="begin"/>
      </w:r>
      <w:r w:rsidR="0037719A">
        <w:instrText xml:space="preserve"> REF _Ref405366969 \r \h  \* MERGEFORMAT </w:instrText>
      </w:r>
      <w:r w:rsidR="0037719A">
        <w:fldChar w:fldCharType="separate"/>
      </w:r>
      <w:r w:rsidR="00A35759" w:rsidRPr="00A35759">
        <w:rPr>
          <w:lang w:val="en-GB"/>
        </w:rPr>
        <w:t>71</w:t>
      </w:r>
      <w:r w:rsidR="0037719A">
        <w:fldChar w:fldCharType="end"/>
      </w:r>
      <w:r w:rsidR="00454216" w:rsidRPr="00995206">
        <w:rPr>
          <w:lang w:val="en-GB"/>
        </w:rPr>
        <w:t xml:space="preserve"> - </w:t>
      </w:r>
      <w:r w:rsidR="0037719A">
        <w:fldChar w:fldCharType="begin"/>
      </w:r>
      <w:r w:rsidR="0037719A">
        <w:instrText xml:space="preserve"> REF _Ref404697372 \r \h  \* MERGEFORMAT </w:instrText>
      </w:r>
      <w:r w:rsidR="0037719A">
        <w:fldChar w:fldCharType="separate"/>
      </w:r>
      <w:r w:rsidR="00A35759" w:rsidRPr="00A35759">
        <w:rPr>
          <w:lang w:val="en-GB"/>
        </w:rPr>
        <w:t>72</w:t>
      </w:r>
      <w:r w:rsidR="0037719A">
        <w:fldChar w:fldCharType="end"/>
      </w:r>
      <w:r w:rsidR="00454216" w:rsidRPr="00995206">
        <w:rPr>
          <w:lang w:val="en-GB"/>
        </w:rPr>
        <w:t xml:space="preserve">), the case of </w:t>
      </w:r>
      <w:proofErr w:type="spellStart"/>
      <w:r w:rsidR="00454216" w:rsidRPr="00995206">
        <w:rPr>
          <w:lang w:val="en-GB"/>
        </w:rPr>
        <w:t>Kabaš</w:t>
      </w:r>
      <w:proofErr w:type="spellEnd"/>
      <w:r w:rsidR="00454216" w:rsidRPr="00995206">
        <w:rPr>
          <w:lang w:val="en-GB"/>
        </w:rPr>
        <w:t xml:space="preserve"> in April 2005 (see §§ </w:t>
      </w:r>
      <w:r w:rsidR="0037719A">
        <w:fldChar w:fldCharType="begin"/>
      </w:r>
      <w:r w:rsidR="0037719A">
        <w:instrText xml:space="preserve"> REF _Ref405367009 \r \h  \* MERGEFORMAT </w:instrText>
      </w:r>
      <w:r w:rsidR="0037719A">
        <w:fldChar w:fldCharType="separate"/>
      </w:r>
      <w:r w:rsidR="00A35759" w:rsidRPr="00A35759">
        <w:rPr>
          <w:lang w:val="en-GB"/>
        </w:rPr>
        <w:t>82</w:t>
      </w:r>
      <w:r w:rsidR="0037719A">
        <w:fldChar w:fldCharType="end"/>
      </w:r>
      <w:r w:rsidR="00454216" w:rsidRPr="00995206">
        <w:rPr>
          <w:lang w:val="en-GB"/>
        </w:rPr>
        <w:t xml:space="preserve"> - </w:t>
      </w:r>
      <w:r w:rsidR="0037719A">
        <w:fldChar w:fldCharType="begin"/>
      </w:r>
      <w:r w:rsidR="0037719A">
        <w:instrText xml:space="preserve"> REF _Ref404697443 \r \h  \* MERGEFORMAT </w:instrText>
      </w:r>
      <w:r w:rsidR="0037719A">
        <w:fldChar w:fldCharType="separate"/>
      </w:r>
      <w:r w:rsidR="00A35759" w:rsidRPr="00A35759">
        <w:rPr>
          <w:lang w:val="en-GB"/>
        </w:rPr>
        <w:t>83</w:t>
      </w:r>
      <w:r w:rsidR="0037719A">
        <w:fldChar w:fldCharType="end"/>
      </w:r>
      <w:r w:rsidR="00454216" w:rsidRPr="00995206">
        <w:rPr>
          <w:lang w:val="en-GB"/>
        </w:rPr>
        <w:t xml:space="preserve">) and the case of </w:t>
      </w:r>
      <w:proofErr w:type="spellStart"/>
      <w:r w:rsidR="00454216" w:rsidRPr="00995206">
        <w:rPr>
          <w:lang w:val="en-GB"/>
        </w:rPr>
        <w:t>Petrović</w:t>
      </w:r>
      <w:proofErr w:type="spellEnd"/>
      <w:r w:rsidR="00454216" w:rsidRPr="00995206">
        <w:rPr>
          <w:lang w:val="en-GB"/>
        </w:rPr>
        <w:t xml:space="preserve"> in April 2004 (§§ </w:t>
      </w:r>
      <w:r w:rsidR="0037719A">
        <w:fldChar w:fldCharType="begin"/>
      </w:r>
      <w:r w:rsidR="0037719A">
        <w:instrText xml:space="preserve"> REF _Ref404709360 \r \h  \* MERGEFORMAT </w:instrText>
      </w:r>
      <w:r w:rsidR="0037719A">
        <w:fldChar w:fldCharType="separate"/>
      </w:r>
      <w:r w:rsidR="00A35759" w:rsidRPr="00A35759">
        <w:rPr>
          <w:lang w:val="en-GB"/>
        </w:rPr>
        <w:t>93</w:t>
      </w:r>
      <w:r w:rsidR="0037719A">
        <w:fldChar w:fldCharType="end"/>
      </w:r>
      <w:r w:rsidR="00454216" w:rsidRPr="00995206">
        <w:rPr>
          <w:lang w:val="en-GB"/>
        </w:rPr>
        <w:t xml:space="preserve"> - </w:t>
      </w:r>
      <w:r w:rsidR="0037719A">
        <w:fldChar w:fldCharType="begin"/>
      </w:r>
      <w:r w:rsidR="0037719A">
        <w:instrText xml:space="preserve"> REF _Ref404697530 \r \h  \* MERGEFORMAT </w:instrText>
      </w:r>
      <w:r w:rsidR="0037719A">
        <w:fldChar w:fldCharType="separate"/>
      </w:r>
      <w:r w:rsidR="00A35759" w:rsidRPr="00A35759">
        <w:rPr>
          <w:lang w:val="en-GB"/>
        </w:rPr>
        <w:t>94</w:t>
      </w:r>
      <w:r w:rsidR="0037719A">
        <w:fldChar w:fldCharType="end"/>
      </w:r>
      <w:r w:rsidR="00454216" w:rsidRPr="00995206">
        <w:rPr>
          <w:lang w:val="en-GB"/>
        </w:rPr>
        <w:t xml:space="preserve">). </w:t>
      </w:r>
      <w:r w:rsidR="00AF1971" w:rsidRPr="00995206">
        <w:rPr>
          <w:lang w:val="en-GB"/>
        </w:rPr>
        <w:t>Thereafter a</w:t>
      </w:r>
      <w:r w:rsidR="00454216" w:rsidRPr="00995206">
        <w:rPr>
          <w:lang w:val="en-GB"/>
        </w:rPr>
        <w:t xml:space="preserve">ll of them had been </w:t>
      </w:r>
      <w:r w:rsidR="00454216" w:rsidRPr="00995206">
        <w:rPr>
          <w:i/>
          <w:lang w:val="en-GB"/>
        </w:rPr>
        <w:t>de-facto</w:t>
      </w:r>
      <w:r w:rsidR="00454216" w:rsidRPr="00995206">
        <w:rPr>
          <w:lang w:val="en-GB"/>
        </w:rPr>
        <w:t xml:space="preserve"> closed, as no</w:t>
      </w:r>
      <w:r w:rsidR="00995206">
        <w:rPr>
          <w:lang w:val="en-GB"/>
        </w:rPr>
        <w:t xml:space="preserve"> further</w:t>
      </w:r>
      <w:r w:rsidR="00454216" w:rsidRPr="00995206">
        <w:rPr>
          <w:lang w:val="en-GB"/>
        </w:rPr>
        <w:t xml:space="preserve"> </w:t>
      </w:r>
      <w:r w:rsidR="00AF1971" w:rsidRPr="00995206">
        <w:rPr>
          <w:lang w:val="en-GB"/>
        </w:rPr>
        <w:t xml:space="preserve">substantive </w:t>
      </w:r>
      <w:r w:rsidR="00454216" w:rsidRPr="00995206">
        <w:rPr>
          <w:lang w:val="en-GB"/>
        </w:rPr>
        <w:t>action was taken on any of them.</w:t>
      </w:r>
    </w:p>
    <w:p w:rsidR="00454216" w:rsidRPr="008D60B0" w:rsidRDefault="00454216" w:rsidP="00995206">
      <w:pPr>
        <w:tabs>
          <w:tab w:val="left" w:pos="709"/>
        </w:tabs>
        <w:suppressAutoHyphens/>
        <w:autoSpaceDE w:val="0"/>
        <w:jc w:val="both"/>
        <w:rPr>
          <w:lang w:val="en-GB"/>
        </w:rPr>
      </w:pPr>
    </w:p>
    <w:p w:rsidR="00454216" w:rsidRPr="00995206" w:rsidRDefault="00454216" w:rsidP="000B1FE4">
      <w:pPr>
        <w:numPr>
          <w:ilvl w:val="0"/>
          <w:numId w:val="2"/>
        </w:numPr>
        <w:tabs>
          <w:tab w:val="left" w:pos="709"/>
        </w:tabs>
        <w:suppressAutoHyphens/>
        <w:autoSpaceDE w:val="0"/>
        <w:ind w:left="450" w:hanging="450"/>
        <w:jc w:val="both"/>
        <w:rPr>
          <w:color w:val="000000" w:themeColor="text1"/>
          <w:lang w:val="en-GB"/>
        </w:rPr>
      </w:pPr>
      <w:r w:rsidRPr="00995206">
        <w:rPr>
          <w:color w:val="000000" w:themeColor="text1"/>
          <w:lang w:val="en-GB"/>
        </w:rPr>
        <w:t xml:space="preserve">The Panel is </w:t>
      </w:r>
      <w:r w:rsidR="00CD682C" w:rsidRPr="00995206">
        <w:rPr>
          <w:color w:val="000000" w:themeColor="text1"/>
          <w:lang w:val="en-GB"/>
        </w:rPr>
        <w:t xml:space="preserve">seriously </w:t>
      </w:r>
      <w:r w:rsidRPr="00995206">
        <w:rPr>
          <w:color w:val="000000" w:themeColor="text1"/>
          <w:lang w:val="en-GB"/>
        </w:rPr>
        <w:t xml:space="preserve">concerned by the fact that these case reviews were undertaken over an extremely short period of time (one or a few days), and appear </w:t>
      </w:r>
      <w:r w:rsidR="00995206">
        <w:rPr>
          <w:color w:val="000000" w:themeColor="text1"/>
          <w:lang w:val="en-GB"/>
        </w:rPr>
        <w:t xml:space="preserve">as </w:t>
      </w:r>
      <w:r w:rsidRPr="00995206">
        <w:rPr>
          <w:color w:val="000000" w:themeColor="text1"/>
          <w:lang w:val="en-GB"/>
        </w:rPr>
        <w:t>mere formality, rather than substantive review.</w:t>
      </w:r>
    </w:p>
    <w:p w:rsidR="00454216" w:rsidRPr="00995206" w:rsidRDefault="00454216" w:rsidP="00995206">
      <w:pPr>
        <w:rPr>
          <w:lang w:val="en-GB"/>
        </w:rPr>
      </w:pPr>
    </w:p>
    <w:p w:rsidR="000B1FE4" w:rsidRPr="00995206" w:rsidRDefault="00EF0240" w:rsidP="000B1FE4">
      <w:pPr>
        <w:numPr>
          <w:ilvl w:val="0"/>
          <w:numId w:val="2"/>
        </w:numPr>
        <w:tabs>
          <w:tab w:val="left" w:pos="709"/>
        </w:tabs>
        <w:suppressAutoHyphens/>
        <w:autoSpaceDE w:val="0"/>
        <w:ind w:left="450" w:hanging="450"/>
        <w:jc w:val="both"/>
        <w:rPr>
          <w:lang w:val="en-GB"/>
        </w:rPr>
      </w:pPr>
      <w:r w:rsidRPr="00995206">
        <w:rPr>
          <w:lang w:val="en-GB"/>
        </w:rPr>
        <w:t xml:space="preserve">In the same sense, </w:t>
      </w:r>
      <w:r w:rsidR="0037359C" w:rsidRPr="00995206">
        <w:rPr>
          <w:lang w:val="en-GB"/>
        </w:rPr>
        <w:t>t</w:t>
      </w:r>
      <w:r w:rsidR="000B1FE4" w:rsidRPr="00995206">
        <w:rPr>
          <w:lang w:val="en-GB"/>
        </w:rPr>
        <w:t xml:space="preserve">he </w:t>
      </w:r>
      <w:r w:rsidRPr="00995206">
        <w:rPr>
          <w:lang w:val="en-GB"/>
        </w:rPr>
        <w:t xml:space="preserve">Panel also recalls that the </w:t>
      </w:r>
      <w:r w:rsidR="000B1FE4" w:rsidRPr="00995206">
        <w:rPr>
          <w:lang w:val="en-GB"/>
        </w:rPr>
        <w:t xml:space="preserve">investigative file </w:t>
      </w:r>
      <w:r w:rsidR="0037359C" w:rsidRPr="00995206">
        <w:rPr>
          <w:lang w:val="en-GB"/>
        </w:rPr>
        <w:t xml:space="preserve">in </w:t>
      </w:r>
      <w:r w:rsidRPr="00995206">
        <w:rPr>
          <w:lang w:val="en-GB"/>
        </w:rPr>
        <w:t xml:space="preserve">relation to the </w:t>
      </w:r>
      <w:r w:rsidR="0037359C" w:rsidRPr="00995206">
        <w:rPr>
          <w:lang w:val="en-GB"/>
        </w:rPr>
        <w:t xml:space="preserve">joint </w:t>
      </w:r>
      <w:r w:rsidRPr="00995206">
        <w:rPr>
          <w:lang w:val="en-GB"/>
        </w:rPr>
        <w:t xml:space="preserve">investigation into the disappearance of all </w:t>
      </w:r>
      <w:r w:rsidR="00995206">
        <w:rPr>
          <w:lang w:val="en-GB"/>
        </w:rPr>
        <w:t>8</w:t>
      </w:r>
      <w:r w:rsidR="0037359C" w:rsidRPr="00995206">
        <w:rPr>
          <w:lang w:val="en-GB"/>
        </w:rPr>
        <w:t xml:space="preserve"> victims </w:t>
      </w:r>
      <w:r w:rsidRPr="00995206">
        <w:rPr>
          <w:lang w:val="en-GB"/>
        </w:rPr>
        <w:t xml:space="preserve">in this case </w:t>
      </w:r>
      <w:r w:rsidR="000B1FE4" w:rsidRPr="00995206">
        <w:rPr>
          <w:lang w:val="en-GB"/>
        </w:rPr>
        <w:t xml:space="preserve">was reviewed by the </w:t>
      </w:r>
      <w:r w:rsidR="0037359C" w:rsidRPr="00995206">
        <w:rPr>
          <w:lang w:val="en-GB"/>
        </w:rPr>
        <w:t xml:space="preserve">UNMIK Police </w:t>
      </w:r>
      <w:r w:rsidR="000B1FE4" w:rsidRPr="00995206">
        <w:rPr>
          <w:lang w:val="en-GB"/>
        </w:rPr>
        <w:t xml:space="preserve">WCIU </w:t>
      </w:r>
      <w:r w:rsidR="0037359C" w:rsidRPr="00995206">
        <w:rPr>
          <w:lang w:val="en-GB"/>
        </w:rPr>
        <w:t>only once</w:t>
      </w:r>
      <w:r w:rsidR="000B1FE4" w:rsidRPr="00995206">
        <w:rPr>
          <w:lang w:val="en-GB"/>
        </w:rPr>
        <w:t xml:space="preserve">, </w:t>
      </w:r>
      <w:r w:rsidR="0037359C" w:rsidRPr="00995206">
        <w:rPr>
          <w:lang w:val="en-GB"/>
        </w:rPr>
        <w:t>in</w:t>
      </w:r>
      <w:r w:rsidR="000B1FE4" w:rsidRPr="00995206">
        <w:rPr>
          <w:lang w:val="en-GB"/>
        </w:rPr>
        <w:t xml:space="preserve"> </w:t>
      </w:r>
      <w:r w:rsidR="0037359C" w:rsidRPr="00995206">
        <w:rPr>
          <w:lang w:val="en-GB"/>
        </w:rPr>
        <w:t>October</w:t>
      </w:r>
      <w:r w:rsidR="000B1FE4" w:rsidRPr="00995206">
        <w:rPr>
          <w:lang w:val="en-GB"/>
        </w:rPr>
        <w:t xml:space="preserve"> 2007. </w:t>
      </w:r>
      <w:r w:rsidRPr="00995206">
        <w:rPr>
          <w:lang w:val="en-GB"/>
        </w:rPr>
        <w:t>In the review report, t</w:t>
      </w:r>
      <w:r w:rsidR="000B1FE4" w:rsidRPr="00995206">
        <w:rPr>
          <w:lang w:val="en-GB"/>
        </w:rPr>
        <w:t xml:space="preserve">he </w:t>
      </w:r>
      <w:r w:rsidRPr="00995206">
        <w:rPr>
          <w:lang w:val="en-GB"/>
        </w:rPr>
        <w:t xml:space="preserve">WCIU </w:t>
      </w:r>
      <w:r w:rsidR="0037359C" w:rsidRPr="00995206">
        <w:rPr>
          <w:lang w:val="en-GB"/>
        </w:rPr>
        <w:t xml:space="preserve">investigator noted that there was information on </w:t>
      </w:r>
      <w:r w:rsidR="00995206">
        <w:rPr>
          <w:lang w:val="en-GB"/>
        </w:rPr>
        <w:t>10</w:t>
      </w:r>
      <w:r w:rsidR="0037359C" w:rsidRPr="00995206">
        <w:rPr>
          <w:lang w:val="en-GB"/>
        </w:rPr>
        <w:t xml:space="preserve"> witnesses and three suspects, none of </w:t>
      </w:r>
      <w:r w:rsidR="001F3C49" w:rsidRPr="00995206">
        <w:rPr>
          <w:lang w:val="en-GB"/>
        </w:rPr>
        <w:t>whom</w:t>
      </w:r>
      <w:r w:rsidR="0037359C" w:rsidRPr="00995206">
        <w:rPr>
          <w:lang w:val="en-GB"/>
        </w:rPr>
        <w:t xml:space="preserve"> </w:t>
      </w:r>
      <w:r w:rsidR="001F3C49" w:rsidRPr="00995206">
        <w:rPr>
          <w:lang w:val="en-GB"/>
        </w:rPr>
        <w:t>had been</w:t>
      </w:r>
      <w:r w:rsidR="0037359C" w:rsidRPr="00995206">
        <w:rPr>
          <w:lang w:val="en-GB"/>
        </w:rPr>
        <w:t xml:space="preserve"> </w:t>
      </w:r>
      <w:r w:rsidR="00680D78" w:rsidRPr="00995206">
        <w:rPr>
          <w:lang w:val="en-GB"/>
        </w:rPr>
        <w:t xml:space="preserve">located and </w:t>
      </w:r>
      <w:r w:rsidR="0037359C" w:rsidRPr="00995206">
        <w:rPr>
          <w:lang w:val="en-GB"/>
        </w:rPr>
        <w:t>interviewed</w:t>
      </w:r>
      <w:r w:rsidRPr="00995206">
        <w:rPr>
          <w:lang w:val="en-GB"/>
        </w:rPr>
        <w:t xml:space="preserve">. Although he </w:t>
      </w:r>
      <w:r w:rsidR="0037359C" w:rsidRPr="00995206">
        <w:rPr>
          <w:lang w:val="en-GB"/>
        </w:rPr>
        <w:t xml:space="preserve">recommended to actively investigate </w:t>
      </w:r>
      <w:r w:rsidR="00680D78" w:rsidRPr="00995206">
        <w:rPr>
          <w:lang w:val="en-GB"/>
        </w:rPr>
        <w:t>the case</w:t>
      </w:r>
      <w:r w:rsidR="0037359C" w:rsidRPr="00995206">
        <w:rPr>
          <w:lang w:val="en-GB"/>
        </w:rPr>
        <w:t xml:space="preserve">, </w:t>
      </w:r>
      <w:r w:rsidR="000B1FE4" w:rsidRPr="00995206">
        <w:rPr>
          <w:lang w:val="en-GB"/>
        </w:rPr>
        <w:t>no action was taken</w:t>
      </w:r>
      <w:r w:rsidR="00625079" w:rsidRPr="00995206">
        <w:rPr>
          <w:lang w:val="en-GB"/>
        </w:rPr>
        <w:t xml:space="preserve"> (see § </w:t>
      </w:r>
      <w:r w:rsidR="0037719A">
        <w:fldChar w:fldCharType="begin"/>
      </w:r>
      <w:r w:rsidR="0037719A">
        <w:instrText xml:space="preserve"> REF _Ref404706915 \r \h  \* MERGEFORMAT </w:instrText>
      </w:r>
      <w:r w:rsidR="0037719A">
        <w:fldChar w:fldCharType="separate"/>
      </w:r>
      <w:r w:rsidR="00A35759" w:rsidRPr="00A35759">
        <w:rPr>
          <w:bCs/>
          <w:lang w:val="en-GB"/>
        </w:rPr>
        <w:t>101</w:t>
      </w:r>
      <w:r w:rsidR="0037719A">
        <w:fldChar w:fldCharType="end"/>
      </w:r>
      <w:r w:rsidR="00625079" w:rsidRPr="00995206">
        <w:rPr>
          <w:bCs/>
          <w:lang w:val="en-GB"/>
        </w:rPr>
        <w:t xml:space="preserve"> </w:t>
      </w:r>
      <w:r w:rsidR="00625079" w:rsidRPr="00995206">
        <w:rPr>
          <w:lang w:val="en-GB"/>
        </w:rPr>
        <w:t>above)</w:t>
      </w:r>
      <w:r w:rsidR="000B1FE4" w:rsidRPr="00995206">
        <w:rPr>
          <w:lang w:val="en-GB"/>
        </w:rPr>
        <w:t>.</w:t>
      </w:r>
      <w:bookmarkEnd w:id="100"/>
    </w:p>
    <w:p w:rsidR="0022428A" w:rsidRPr="00995206" w:rsidRDefault="0022428A" w:rsidP="0022428A">
      <w:pPr>
        <w:pStyle w:val="ListParagraph"/>
        <w:rPr>
          <w:color w:val="000000"/>
          <w:lang w:val="en-GB"/>
        </w:rPr>
      </w:pPr>
    </w:p>
    <w:p w:rsidR="000B1FE4" w:rsidRPr="00EE6125" w:rsidRDefault="000B1FE4" w:rsidP="000B1FE4">
      <w:pPr>
        <w:numPr>
          <w:ilvl w:val="0"/>
          <w:numId w:val="2"/>
        </w:numPr>
        <w:tabs>
          <w:tab w:val="left" w:pos="709"/>
        </w:tabs>
        <w:suppressAutoHyphens/>
        <w:autoSpaceDE w:val="0"/>
        <w:ind w:left="450" w:hanging="450"/>
        <w:jc w:val="both"/>
        <w:rPr>
          <w:color w:val="000000"/>
          <w:lang w:val="en-GB"/>
        </w:rPr>
      </w:pPr>
      <w:r w:rsidRPr="00995206">
        <w:rPr>
          <w:color w:val="000000"/>
          <w:lang w:val="en-GB"/>
        </w:rPr>
        <w:t>Likewise, the file indicates no involvement of a public prosecutor in this investigation</w:t>
      </w:r>
      <w:r w:rsidR="0037359C" w:rsidRPr="00995206">
        <w:rPr>
          <w:color w:val="000000"/>
          <w:lang w:val="en-GB"/>
        </w:rPr>
        <w:t xml:space="preserve">, although three separate criminal reports related to the same event, including one by Ms </w:t>
      </w:r>
      <w:proofErr w:type="spellStart"/>
      <w:r w:rsidR="0037359C" w:rsidRPr="00995206">
        <w:rPr>
          <w:color w:val="000000"/>
          <w:lang w:val="en-GB"/>
        </w:rPr>
        <w:t>Rosanda</w:t>
      </w:r>
      <w:proofErr w:type="spellEnd"/>
      <w:r w:rsidR="0037359C" w:rsidRPr="00995206">
        <w:rPr>
          <w:color w:val="000000"/>
          <w:lang w:val="en-GB"/>
        </w:rPr>
        <w:t xml:space="preserve"> </w:t>
      </w:r>
      <w:proofErr w:type="spellStart"/>
      <w:r w:rsidR="0037359C" w:rsidRPr="00995206">
        <w:rPr>
          <w:color w:val="000000"/>
          <w:lang w:val="en-GB"/>
        </w:rPr>
        <w:t>Kabaš</w:t>
      </w:r>
      <w:proofErr w:type="spellEnd"/>
      <w:r w:rsidR="0037359C" w:rsidRPr="00995206">
        <w:rPr>
          <w:color w:val="000000"/>
          <w:lang w:val="en-GB"/>
        </w:rPr>
        <w:t xml:space="preserve">, were received by International Prosecutors (see §§ </w:t>
      </w:r>
      <w:r w:rsidR="0037719A">
        <w:fldChar w:fldCharType="begin"/>
      </w:r>
      <w:r w:rsidR="0037719A">
        <w:instrText xml:space="preserve"> REF _Ref404707385 \r \h  \* MERGEFORMAT </w:instrText>
      </w:r>
      <w:r w:rsidR="0037719A">
        <w:fldChar w:fldCharType="separate"/>
      </w:r>
      <w:r w:rsidR="00A35759" w:rsidRPr="00A35759">
        <w:rPr>
          <w:color w:val="000000"/>
          <w:lang w:val="en-GB"/>
        </w:rPr>
        <w:t>106</w:t>
      </w:r>
      <w:r w:rsidR="0037719A">
        <w:fldChar w:fldCharType="end"/>
      </w:r>
      <w:r w:rsidR="0037359C" w:rsidRPr="00995206">
        <w:rPr>
          <w:color w:val="000000"/>
          <w:lang w:val="en-GB"/>
        </w:rPr>
        <w:t xml:space="preserve"> - </w:t>
      </w:r>
      <w:r w:rsidR="0037719A">
        <w:fldChar w:fldCharType="begin"/>
      </w:r>
      <w:r w:rsidR="0037719A">
        <w:instrText xml:space="preserve"> REF _Ref404607390 \r \h  \* MERGEFORMAT </w:instrText>
      </w:r>
      <w:r w:rsidR="0037719A">
        <w:fldChar w:fldCharType="separate"/>
      </w:r>
      <w:r w:rsidR="00A35759" w:rsidRPr="00A35759">
        <w:rPr>
          <w:color w:val="000000"/>
          <w:lang w:val="en-GB"/>
        </w:rPr>
        <w:t>108</w:t>
      </w:r>
      <w:r w:rsidR="0037719A">
        <w:fldChar w:fldCharType="end"/>
      </w:r>
      <w:r w:rsidR="0037359C" w:rsidRPr="00995206">
        <w:rPr>
          <w:color w:val="000000"/>
          <w:lang w:val="en-GB"/>
        </w:rPr>
        <w:t xml:space="preserve"> above).</w:t>
      </w:r>
      <w:r w:rsidRPr="00995206">
        <w:rPr>
          <w:color w:val="000000"/>
          <w:lang w:val="en-GB"/>
        </w:rPr>
        <w:t xml:space="preserve"> As the Panel has </w:t>
      </w:r>
      <w:r w:rsidR="000E7BBA" w:rsidRPr="00995206">
        <w:rPr>
          <w:color w:val="000000"/>
          <w:lang w:val="en-GB"/>
        </w:rPr>
        <w:t xml:space="preserve">concluded </w:t>
      </w:r>
      <w:r w:rsidRPr="00995206">
        <w:rPr>
          <w:color w:val="000000"/>
          <w:lang w:val="en-GB"/>
        </w:rPr>
        <w:t>previously, a proper prosecutorial review of the investigative file might</w:t>
      </w:r>
      <w:r w:rsidRPr="00EE6125">
        <w:rPr>
          <w:color w:val="000000"/>
          <w:lang w:val="en-GB"/>
        </w:rPr>
        <w:t xml:space="preserve"> have resulted in additional recommendations, so that the case would not have remained inactive for years to come (see HRAP, </w:t>
      </w:r>
      <w:proofErr w:type="spellStart"/>
      <w:r w:rsidRPr="00EE6125">
        <w:rPr>
          <w:i/>
          <w:color w:val="000000"/>
          <w:lang w:val="en-GB"/>
        </w:rPr>
        <w:t>Stojković</w:t>
      </w:r>
      <w:proofErr w:type="spellEnd"/>
      <w:r w:rsidRPr="00EE6125">
        <w:rPr>
          <w:color w:val="000000"/>
          <w:lang w:val="en-GB"/>
        </w:rPr>
        <w:t xml:space="preserve">, no. 87/09, opinion of 14 December 2013, § 160). Thus, in the Panel’s view, </w:t>
      </w:r>
      <w:r w:rsidR="000E7BBA">
        <w:rPr>
          <w:color w:val="000000"/>
          <w:lang w:val="en-GB"/>
        </w:rPr>
        <w:t xml:space="preserve">in the present cases, </w:t>
      </w:r>
      <w:r w:rsidRPr="00EE6125">
        <w:rPr>
          <w:color w:val="000000"/>
          <w:lang w:val="en-GB"/>
        </w:rPr>
        <w:t>the review of the investigative files was far from being adequate.</w:t>
      </w:r>
    </w:p>
    <w:p w:rsidR="00081B9A" w:rsidRPr="00EE6125" w:rsidRDefault="00081B9A" w:rsidP="00081B9A">
      <w:pPr>
        <w:pStyle w:val="ColorfulList-Accent11"/>
        <w:rPr>
          <w:color w:val="000000"/>
          <w:lang w:val="en-GB"/>
        </w:rPr>
      </w:pPr>
    </w:p>
    <w:p w:rsidR="00F475A7" w:rsidRPr="00995206" w:rsidRDefault="00625079" w:rsidP="00F475A7">
      <w:pPr>
        <w:numPr>
          <w:ilvl w:val="0"/>
          <w:numId w:val="2"/>
        </w:numPr>
        <w:tabs>
          <w:tab w:val="left" w:pos="709"/>
        </w:tabs>
        <w:suppressAutoHyphens/>
        <w:autoSpaceDE w:val="0"/>
        <w:ind w:left="450" w:hanging="450"/>
        <w:jc w:val="both"/>
        <w:rPr>
          <w:bCs/>
          <w:lang w:val="en-GB"/>
        </w:rPr>
      </w:pPr>
      <w:r w:rsidRPr="00995206">
        <w:rPr>
          <w:bCs/>
          <w:lang w:val="en-GB"/>
        </w:rPr>
        <w:t xml:space="preserve">The Panel </w:t>
      </w:r>
      <w:r w:rsidR="000E7BBA" w:rsidRPr="00995206">
        <w:rPr>
          <w:bCs/>
          <w:lang w:val="en-GB"/>
        </w:rPr>
        <w:t>considers it necessary to express its concern</w:t>
      </w:r>
      <w:r w:rsidR="00F475A7" w:rsidRPr="00995206">
        <w:rPr>
          <w:bCs/>
          <w:lang w:val="en-GB"/>
        </w:rPr>
        <w:t xml:space="preserve"> </w:t>
      </w:r>
      <w:r w:rsidR="00995206">
        <w:rPr>
          <w:bCs/>
          <w:lang w:val="en-GB"/>
        </w:rPr>
        <w:t>about</w:t>
      </w:r>
      <w:r w:rsidR="00592DB5" w:rsidRPr="00995206">
        <w:rPr>
          <w:bCs/>
          <w:lang w:val="en-GB"/>
        </w:rPr>
        <w:t xml:space="preserve"> </w:t>
      </w:r>
      <w:r w:rsidRPr="00995206">
        <w:rPr>
          <w:bCs/>
          <w:lang w:val="en-GB"/>
        </w:rPr>
        <w:t xml:space="preserve">the quality of the case review which was undertaken by the SPRK in 2009, leading to </w:t>
      </w:r>
      <w:r w:rsidR="00995206">
        <w:rPr>
          <w:bCs/>
          <w:lang w:val="en-GB"/>
        </w:rPr>
        <w:t>a</w:t>
      </w:r>
      <w:r w:rsidRPr="00995206">
        <w:rPr>
          <w:bCs/>
          <w:lang w:val="en-GB"/>
        </w:rPr>
        <w:t xml:space="preserve"> closure</w:t>
      </w:r>
      <w:r w:rsidR="00995206">
        <w:rPr>
          <w:bCs/>
          <w:lang w:val="en-GB"/>
        </w:rPr>
        <w:t xml:space="preserve"> of the case</w:t>
      </w:r>
      <w:r w:rsidRPr="00995206">
        <w:rPr>
          <w:bCs/>
          <w:lang w:val="en-GB"/>
        </w:rPr>
        <w:t xml:space="preserve">. </w:t>
      </w:r>
      <w:r w:rsidR="00F475A7" w:rsidRPr="00995206">
        <w:rPr>
          <w:bCs/>
          <w:lang w:val="en-GB"/>
        </w:rPr>
        <w:t xml:space="preserve">Although this </w:t>
      </w:r>
      <w:r w:rsidR="00592DB5" w:rsidRPr="00995206">
        <w:rPr>
          <w:bCs/>
          <w:lang w:val="en-GB"/>
        </w:rPr>
        <w:t>procedural act</w:t>
      </w:r>
      <w:r w:rsidR="00F475A7" w:rsidRPr="00995206">
        <w:rPr>
          <w:bCs/>
          <w:lang w:val="en-GB"/>
        </w:rPr>
        <w:t xml:space="preserve"> lies outside the Panel’s jurisdiction, it seems to have continued the sequence of mistakes and inadequacies in this case. </w:t>
      </w:r>
    </w:p>
    <w:p w:rsidR="00F475A7" w:rsidRPr="00995206" w:rsidRDefault="00F475A7" w:rsidP="00F475A7">
      <w:pPr>
        <w:pStyle w:val="ColorfulList-Accent11"/>
        <w:tabs>
          <w:tab w:val="left" w:pos="4050"/>
        </w:tabs>
        <w:rPr>
          <w:lang w:val="en-GB"/>
        </w:rPr>
      </w:pPr>
    </w:p>
    <w:p w:rsidR="00181CA1" w:rsidRPr="00995206" w:rsidRDefault="00625079" w:rsidP="00081B9A">
      <w:pPr>
        <w:numPr>
          <w:ilvl w:val="0"/>
          <w:numId w:val="2"/>
        </w:numPr>
        <w:tabs>
          <w:tab w:val="left" w:pos="709"/>
        </w:tabs>
        <w:suppressAutoHyphens/>
        <w:autoSpaceDE w:val="0"/>
        <w:ind w:left="450" w:hanging="450"/>
        <w:jc w:val="both"/>
        <w:rPr>
          <w:bCs/>
          <w:lang w:val="en-GB"/>
        </w:rPr>
      </w:pPr>
      <w:r w:rsidRPr="00995206">
        <w:rPr>
          <w:bCs/>
          <w:lang w:val="en-GB"/>
        </w:rPr>
        <w:t xml:space="preserve">In particular, the investigation into the abduction of Mr and Mrs </w:t>
      </w:r>
      <w:proofErr w:type="spellStart"/>
      <w:r w:rsidRPr="00995206">
        <w:rPr>
          <w:bCs/>
          <w:lang w:val="en-GB"/>
        </w:rPr>
        <w:t>Petrović</w:t>
      </w:r>
      <w:proofErr w:type="spellEnd"/>
      <w:r w:rsidRPr="00995206">
        <w:rPr>
          <w:bCs/>
          <w:lang w:val="en-GB"/>
        </w:rPr>
        <w:t xml:space="preserve"> was closed by a Ruling of an SPRK International Prosecutor dated </w:t>
      </w:r>
      <w:r w:rsidRPr="00995206">
        <w:rPr>
          <w:lang w:val="en-GB"/>
        </w:rPr>
        <w:t>22 July 2009</w:t>
      </w:r>
      <w:r w:rsidRPr="00995206">
        <w:rPr>
          <w:bCs/>
          <w:lang w:val="en-GB"/>
        </w:rPr>
        <w:t xml:space="preserve"> (see §§ </w:t>
      </w:r>
      <w:r w:rsidR="0037719A">
        <w:fldChar w:fldCharType="begin"/>
      </w:r>
      <w:r w:rsidR="0037719A">
        <w:instrText xml:space="preserve"> REF _Ref404764490 \r \h  \* MERGEFORMAT </w:instrText>
      </w:r>
      <w:r w:rsidR="0037719A">
        <w:fldChar w:fldCharType="separate"/>
      </w:r>
      <w:r w:rsidR="00A35759" w:rsidRPr="00A35759">
        <w:rPr>
          <w:lang w:val="en-GB"/>
        </w:rPr>
        <w:t>95</w:t>
      </w:r>
      <w:r w:rsidR="0037719A">
        <w:fldChar w:fldCharType="end"/>
      </w:r>
      <w:r w:rsidRPr="00995206">
        <w:rPr>
          <w:lang w:val="en-GB"/>
        </w:rPr>
        <w:t xml:space="preserve"> - </w:t>
      </w:r>
      <w:r w:rsidR="0037719A">
        <w:fldChar w:fldCharType="begin"/>
      </w:r>
      <w:r w:rsidR="0037719A">
        <w:instrText xml:space="preserve"> REF _Ref404764514 \r \h  \* MERGEFORMAT </w:instrText>
      </w:r>
      <w:r w:rsidR="0037719A">
        <w:fldChar w:fldCharType="separate"/>
      </w:r>
      <w:r w:rsidR="00A35759" w:rsidRPr="00A35759">
        <w:rPr>
          <w:lang w:val="en-GB"/>
        </w:rPr>
        <w:t>99</w:t>
      </w:r>
      <w:r w:rsidR="0037719A">
        <w:fldChar w:fldCharType="end"/>
      </w:r>
      <w:r w:rsidRPr="00995206">
        <w:rPr>
          <w:lang w:val="en-GB"/>
        </w:rPr>
        <w:t xml:space="preserve"> </w:t>
      </w:r>
      <w:r w:rsidRPr="00995206">
        <w:rPr>
          <w:bCs/>
          <w:lang w:val="en-GB"/>
        </w:rPr>
        <w:t>above), while the case in relation to all victims</w:t>
      </w:r>
      <w:r w:rsidR="006F4C09" w:rsidRPr="00995206">
        <w:rPr>
          <w:bCs/>
          <w:lang w:val="en-GB"/>
        </w:rPr>
        <w:t xml:space="preserve"> on </w:t>
      </w:r>
      <w:r w:rsidRPr="00995206">
        <w:rPr>
          <w:lang w:val="en-GB"/>
        </w:rPr>
        <w:t>20 July 2009</w:t>
      </w:r>
      <w:r w:rsidRPr="00995206">
        <w:rPr>
          <w:bCs/>
          <w:lang w:val="en-GB"/>
        </w:rPr>
        <w:t xml:space="preserve"> (see §§ </w:t>
      </w:r>
      <w:r w:rsidR="0037719A">
        <w:fldChar w:fldCharType="begin"/>
      </w:r>
      <w:r w:rsidR="0037719A">
        <w:instrText xml:space="preserve"> REF _Ref404765020 \r \h  \* MERGEFORMAT </w:instrText>
      </w:r>
      <w:r w:rsidR="0037719A">
        <w:fldChar w:fldCharType="separate"/>
      </w:r>
      <w:r w:rsidR="00A35759" w:rsidRPr="00A35759">
        <w:rPr>
          <w:bCs/>
          <w:lang w:val="en-GB"/>
        </w:rPr>
        <w:t>109</w:t>
      </w:r>
      <w:r w:rsidR="0037719A">
        <w:fldChar w:fldCharType="end"/>
      </w:r>
      <w:r w:rsidRPr="00995206">
        <w:rPr>
          <w:lang w:val="en-GB"/>
        </w:rPr>
        <w:t xml:space="preserve"> - </w:t>
      </w:r>
      <w:r w:rsidR="0037719A">
        <w:fldChar w:fldCharType="begin"/>
      </w:r>
      <w:r w:rsidR="0037719A">
        <w:instrText xml:space="preserve"> REF _Ref404765029 \r \h  \* MERGEFORMAT </w:instrText>
      </w:r>
      <w:r w:rsidR="0037719A">
        <w:fldChar w:fldCharType="separate"/>
      </w:r>
      <w:r w:rsidR="00A35759" w:rsidRPr="00A35759">
        <w:rPr>
          <w:lang w:val="en-GB"/>
        </w:rPr>
        <w:t>113</w:t>
      </w:r>
      <w:r w:rsidR="0037719A">
        <w:fldChar w:fldCharType="end"/>
      </w:r>
      <w:r w:rsidRPr="00995206">
        <w:rPr>
          <w:lang w:val="en-GB"/>
        </w:rPr>
        <w:t xml:space="preserve"> </w:t>
      </w:r>
      <w:r w:rsidRPr="00995206">
        <w:rPr>
          <w:bCs/>
          <w:lang w:val="en-GB"/>
        </w:rPr>
        <w:t>above).</w:t>
      </w:r>
      <w:r w:rsidR="00F475A7" w:rsidRPr="00995206">
        <w:rPr>
          <w:bCs/>
          <w:lang w:val="en-GB"/>
        </w:rPr>
        <w:t xml:space="preserve"> </w:t>
      </w:r>
      <w:r w:rsidRPr="00995206">
        <w:rPr>
          <w:bCs/>
          <w:lang w:val="en-GB"/>
        </w:rPr>
        <w:t xml:space="preserve">Both of them fail to acknowledge the shortcomings of the previous investigation by UNMIK, which were identified and put on record two years before (see § </w:t>
      </w:r>
      <w:r w:rsidR="0037719A">
        <w:fldChar w:fldCharType="begin"/>
      </w:r>
      <w:r w:rsidR="0037719A">
        <w:instrText xml:space="preserve"> REF _Ref404765195 \r \h  \* MERGEFORMAT </w:instrText>
      </w:r>
      <w:r w:rsidR="0037719A">
        <w:fldChar w:fldCharType="separate"/>
      </w:r>
      <w:r w:rsidR="00A35759" w:rsidRPr="00A35759">
        <w:rPr>
          <w:bCs/>
          <w:lang w:val="en-GB"/>
        </w:rPr>
        <w:t>208</w:t>
      </w:r>
      <w:r w:rsidR="0037719A">
        <w:fldChar w:fldCharType="end"/>
      </w:r>
      <w:r w:rsidRPr="00995206">
        <w:rPr>
          <w:bCs/>
          <w:lang w:val="en-GB"/>
        </w:rPr>
        <w:t xml:space="preserve"> above)</w:t>
      </w:r>
      <w:r w:rsidR="00F475A7" w:rsidRPr="00995206">
        <w:rPr>
          <w:bCs/>
          <w:lang w:val="en-GB"/>
        </w:rPr>
        <w:t>; b</w:t>
      </w:r>
      <w:r w:rsidRPr="00995206">
        <w:rPr>
          <w:bCs/>
          <w:lang w:val="en-GB"/>
        </w:rPr>
        <w:t xml:space="preserve">oth misrepresent </w:t>
      </w:r>
      <w:r w:rsidR="00F475A7" w:rsidRPr="00995206">
        <w:rPr>
          <w:bCs/>
          <w:lang w:val="en-GB"/>
        </w:rPr>
        <w:t xml:space="preserve">the facts </w:t>
      </w:r>
      <w:r w:rsidRPr="00995206">
        <w:rPr>
          <w:bCs/>
          <w:lang w:val="en-GB"/>
        </w:rPr>
        <w:t xml:space="preserve">available in the files </w:t>
      </w:r>
      <w:r w:rsidR="00F475A7" w:rsidRPr="00995206">
        <w:rPr>
          <w:bCs/>
          <w:lang w:val="en-GB"/>
        </w:rPr>
        <w:t xml:space="preserve">and even </w:t>
      </w:r>
      <w:r w:rsidR="00995206">
        <w:rPr>
          <w:bCs/>
          <w:lang w:val="en-GB"/>
        </w:rPr>
        <w:t xml:space="preserve">the </w:t>
      </w:r>
      <w:r w:rsidRPr="00995206">
        <w:rPr>
          <w:bCs/>
          <w:lang w:val="en-GB"/>
        </w:rPr>
        <w:t xml:space="preserve">applicable legal provisions (see §§ </w:t>
      </w:r>
      <w:r w:rsidR="0037719A">
        <w:fldChar w:fldCharType="begin"/>
      </w:r>
      <w:r w:rsidR="0037719A">
        <w:instrText xml:space="preserve"> REF _Ref404765499 \r \h  \* MERGEFORMAT </w:instrText>
      </w:r>
      <w:r w:rsidR="0037719A">
        <w:fldChar w:fldCharType="separate"/>
      </w:r>
      <w:r w:rsidR="00A35759" w:rsidRPr="00A35759">
        <w:rPr>
          <w:bCs/>
          <w:lang w:val="en-GB"/>
        </w:rPr>
        <w:t>96</w:t>
      </w:r>
      <w:r w:rsidR="0037719A">
        <w:fldChar w:fldCharType="end"/>
      </w:r>
      <w:r w:rsidRPr="00995206">
        <w:rPr>
          <w:bCs/>
          <w:lang w:val="en-GB"/>
        </w:rPr>
        <w:t xml:space="preserve"> and </w:t>
      </w:r>
      <w:r w:rsidR="0037719A">
        <w:fldChar w:fldCharType="begin"/>
      </w:r>
      <w:r w:rsidR="0037719A">
        <w:instrText xml:space="preserve"> REF _Ref404765477 \r \h  \* MERGEFORMAT </w:instrText>
      </w:r>
      <w:r w:rsidR="0037719A">
        <w:fldChar w:fldCharType="separate"/>
      </w:r>
      <w:r w:rsidR="00A35759" w:rsidRPr="00A35759">
        <w:rPr>
          <w:bCs/>
          <w:lang w:val="en-GB"/>
        </w:rPr>
        <w:t>111</w:t>
      </w:r>
      <w:r w:rsidR="0037719A">
        <w:fldChar w:fldCharType="end"/>
      </w:r>
      <w:r w:rsidRPr="00995206">
        <w:rPr>
          <w:bCs/>
          <w:lang w:val="en-GB"/>
        </w:rPr>
        <w:t>).</w:t>
      </w:r>
      <w:r w:rsidR="00592DB5" w:rsidRPr="00995206">
        <w:rPr>
          <w:bCs/>
          <w:lang w:val="en-GB"/>
        </w:rPr>
        <w:t xml:space="preserve"> </w:t>
      </w:r>
    </w:p>
    <w:p w:rsidR="00181CA1" w:rsidRPr="00995206" w:rsidRDefault="00181CA1" w:rsidP="00181CA1">
      <w:pPr>
        <w:pStyle w:val="ListParagraph"/>
        <w:rPr>
          <w:bCs/>
          <w:lang w:val="en-GB"/>
        </w:rPr>
      </w:pPr>
    </w:p>
    <w:p w:rsidR="00592DB5" w:rsidRPr="00995206" w:rsidRDefault="00592DB5" w:rsidP="00081B9A">
      <w:pPr>
        <w:numPr>
          <w:ilvl w:val="0"/>
          <w:numId w:val="2"/>
        </w:numPr>
        <w:tabs>
          <w:tab w:val="left" w:pos="709"/>
          <w:tab w:val="left" w:pos="4050"/>
        </w:tabs>
        <w:suppressAutoHyphens/>
        <w:autoSpaceDE w:val="0"/>
        <w:ind w:left="450" w:hanging="450"/>
        <w:jc w:val="both"/>
        <w:rPr>
          <w:bCs/>
          <w:lang w:val="en-GB"/>
        </w:rPr>
      </w:pPr>
      <w:r w:rsidRPr="00995206">
        <w:rPr>
          <w:bCs/>
          <w:lang w:val="en-GB"/>
        </w:rPr>
        <w:t xml:space="preserve">Furthermore, </w:t>
      </w:r>
      <w:r w:rsidR="00181CA1" w:rsidRPr="00995206">
        <w:rPr>
          <w:bCs/>
          <w:lang w:val="en-GB"/>
        </w:rPr>
        <w:t>t</w:t>
      </w:r>
      <w:r w:rsidR="00181CA1" w:rsidRPr="00995206">
        <w:rPr>
          <w:bCs/>
        </w:rPr>
        <w:t>he Panel is perplexed by the simplistic manner in which the prosecutor, without undertaking any action</w:t>
      </w:r>
      <w:r w:rsidR="00995206">
        <w:rPr>
          <w:bCs/>
        </w:rPr>
        <w:t>,</w:t>
      </w:r>
      <w:r w:rsidR="00181CA1" w:rsidRPr="00995206">
        <w:rPr>
          <w:bCs/>
        </w:rPr>
        <w:t xml:space="preserve"> conclu</w:t>
      </w:r>
      <w:r w:rsidR="00995206">
        <w:rPr>
          <w:bCs/>
        </w:rPr>
        <w:t>ded</w:t>
      </w:r>
      <w:r w:rsidR="00181CA1" w:rsidRPr="00995206">
        <w:rPr>
          <w:bCs/>
        </w:rPr>
        <w:t xml:space="preserve"> that it was “evident from the criminal report that there is no reasonable suspicion </w:t>
      </w:r>
      <w:r w:rsidR="00181CA1" w:rsidRPr="00995206">
        <w:rPr>
          <w:lang w:val="en-GB"/>
        </w:rPr>
        <w:t>that</w:t>
      </w:r>
      <w:r w:rsidR="00181CA1" w:rsidRPr="00995206">
        <w:rPr>
          <w:bCs/>
        </w:rPr>
        <w:t xml:space="preserve"> the suspects committed the indicated criminal offence” and that it was “not reasonably likely that further investigation by the police may provide sufficient information.” T</w:t>
      </w:r>
      <w:r w:rsidRPr="00995206">
        <w:rPr>
          <w:bCs/>
          <w:lang w:val="en-GB"/>
        </w:rPr>
        <w:t xml:space="preserve">he </w:t>
      </w:r>
      <w:r w:rsidR="00181CA1" w:rsidRPr="00995206">
        <w:rPr>
          <w:bCs/>
          <w:lang w:val="en-GB"/>
        </w:rPr>
        <w:t xml:space="preserve">fact that </w:t>
      </w:r>
      <w:r w:rsidRPr="00995206">
        <w:rPr>
          <w:bCs/>
          <w:lang w:val="en-GB"/>
        </w:rPr>
        <w:t xml:space="preserve">the International Prosecutor decided to notify </w:t>
      </w:r>
      <w:r w:rsidR="00181CA1" w:rsidRPr="00995206">
        <w:rPr>
          <w:bCs/>
          <w:lang w:val="en-GB"/>
        </w:rPr>
        <w:t xml:space="preserve">the missing </w:t>
      </w:r>
      <w:r w:rsidRPr="00995206">
        <w:rPr>
          <w:bCs/>
          <w:lang w:val="en-GB"/>
        </w:rPr>
        <w:t xml:space="preserve">Mr </w:t>
      </w:r>
      <w:proofErr w:type="spellStart"/>
      <w:r w:rsidR="00164374" w:rsidRPr="00995206">
        <w:rPr>
          <w:lang w:val="en-GB"/>
        </w:rPr>
        <w:t>Mića</w:t>
      </w:r>
      <w:proofErr w:type="spellEnd"/>
      <w:r w:rsidR="00164374" w:rsidRPr="00995206">
        <w:rPr>
          <w:lang w:val="en-GB"/>
        </w:rPr>
        <w:t xml:space="preserve"> </w:t>
      </w:r>
      <w:proofErr w:type="spellStart"/>
      <w:r w:rsidR="00164374" w:rsidRPr="00995206">
        <w:rPr>
          <w:lang w:val="en-GB"/>
        </w:rPr>
        <w:t>Petrović</w:t>
      </w:r>
      <w:proofErr w:type="spellEnd"/>
      <w:r w:rsidR="00164374" w:rsidRPr="00995206">
        <w:rPr>
          <w:lang w:val="en-GB"/>
        </w:rPr>
        <w:t xml:space="preserve"> and Mrs Radmila </w:t>
      </w:r>
      <w:proofErr w:type="spellStart"/>
      <w:r w:rsidR="00164374" w:rsidRPr="00995206">
        <w:rPr>
          <w:lang w:val="en-GB"/>
        </w:rPr>
        <w:t>Petrović</w:t>
      </w:r>
      <w:proofErr w:type="spellEnd"/>
      <w:r w:rsidR="00164374" w:rsidRPr="00995206">
        <w:rPr>
          <w:lang w:val="en-GB"/>
        </w:rPr>
        <w:t xml:space="preserve"> </w:t>
      </w:r>
      <w:r w:rsidRPr="00995206">
        <w:rPr>
          <w:bCs/>
          <w:lang w:val="en-GB"/>
        </w:rPr>
        <w:t xml:space="preserve">about the dismissal of the </w:t>
      </w:r>
      <w:r w:rsidRPr="00995206">
        <w:rPr>
          <w:bCs/>
          <w:lang w:val="en-GB"/>
        </w:rPr>
        <w:lastRenderedPageBreak/>
        <w:t>investigation</w:t>
      </w:r>
      <w:r w:rsidR="00995206">
        <w:rPr>
          <w:bCs/>
          <w:lang w:val="en-GB"/>
        </w:rPr>
        <w:t>,</w:t>
      </w:r>
      <w:r w:rsidRPr="00995206">
        <w:rPr>
          <w:bCs/>
          <w:lang w:val="en-GB"/>
        </w:rPr>
        <w:t xml:space="preserve"> </w:t>
      </w:r>
      <w:r w:rsidR="00995206">
        <w:rPr>
          <w:bCs/>
          <w:lang w:val="en-GB"/>
        </w:rPr>
        <w:t xml:space="preserve">the </w:t>
      </w:r>
      <w:r w:rsidRPr="00995206">
        <w:rPr>
          <w:bCs/>
          <w:lang w:val="en-GB"/>
        </w:rPr>
        <w:t xml:space="preserve">primary aim </w:t>
      </w:r>
      <w:r w:rsidR="00995206">
        <w:rPr>
          <w:bCs/>
          <w:lang w:val="en-GB"/>
        </w:rPr>
        <w:t xml:space="preserve">of which </w:t>
      </w:r>
      <w:r w:rsidRPr="00995206">
        <w:rPr>
          <w:bCs/>
          <w:lang w:val="en-GB"/>
        </w:rPr>
        <w:t xml:space="preserve">was to find what happened to them (see §§ </w:t>
      </w:r>
      <w:r w:rsidR="0037719A">
        <w:fldChar w:fldCharType="begin"/>
      </w:r>
      <w:r w:rsidR="0037719A">
        <w:instrText xml:space="preserve"> REF _Ref404766515 \r \h  \* MERGEFORMAT </w:instrText>
      </w:r>
      <w:r w:rsidR="0037719A">
        <w:fldChar w:fldCharType="separate"/>
      </w:r>
      <w:r w:rsidR="00A35759" w:rsidRPr="00A35759">
        <w:rPr>
          <w:bCs/>
          <w:lang w:val="en-GB"/>
        </w:rPr>
        <w:t>98</w:t>
      </w:r>
      <w:r w:rsidR="0037719A">
        <w:fldChar w:fldCharType="end"/>
      </w:r>
      <w:r w:rsidRPr="00995206">
        <w:rPr>
          <w:bCs/>
          <w:lang w:val="en-GB"/>
        </w:rPr>
        <w:t xml:space="preserve"> - </w:t>
      </w:r>
      <w:r w:rsidR="0037719A">
        <w:fldChar w:fldCharType="begin"/>
      </w:r>
      <w:r w:rsidR="0037719A">
        <w:instrText xml:space="preserve"> REF _Ref404764514 \r \h  \* MERGEFORMAT </w:instrText>
      </w:r>
      <w:r w:rsidR="0037719A">
        <w:fldChar w:fldCharType="separate"/>
      </w:r>
      <w:r w:rsidR="00A35759" w:rsidRPr="00A35759">
        <w:rPr>
          <w:bCs/>
          <w:lang w:val="en-GB"/>
        </w:rPr>
        <w:t>99</w:t>
      </w:r>
      <w:r w:rsidR="0037719A">
        <w:fldChar w:fldCharType="end"/>
      </w:r>
      <w:r w:rsidR="00181CA1" w:rsidRPr="00995206">
        <w:rPr>
          <w:bCs/>
          <w:lang w:val="en-GB"/>
        </w:rPr>
        <w:t xml:space="preserve"> above) indicates that the Prosecutor did not even study the file.</w:t>
      </w:r>
    </w:p>
    <w:p w:rsidR="00592DB5" w:rsidRPr="00995206" w:rsidRDefault="00592DB5" w:rsidP="00592DB5">
      <w:pPr>
        <w:pStyle w:val="ColorfulList-Accent11"/>
        <w:rPr>
          <w:lang w:val="en-GB"/>
        </w:rPr>
      </w:pPr>
    </w:p>
    <w:p w:rsidR="000B1FE4" w:rsidRPr="00EE6125" w:rsidRDefault="000B1FE4" w:rsidP="000B1FE4">
      <w:pPr>
        <w:numPr>
          <w:ilvl w:val="0"/>
          <w:numId w:val="2"/>
        </w:numPr>
        <w:tabs>
          <w:tab w:val="num" w:pos="450"/>
          <w:tab w:val="left" w:pos="709"/>
        </w:tabs>
        <w:suppressAutoHyphens/>
        <w:autoSpaceDE w:val="0"/>
        <w:ind w:left="450" w:hanging="450"/>
        <w:jc w:val="both"/>
        <w:rPr>
          <w:color w:val="000000"/>
        </w:rPr>
      </w:pPr>
      <w:r w:rsidRPr="00995206">
        <w:rPr>
          <w:bCs/>
          <w:color w:val="000000"/>
        </w:rPr>
        <w:t xml:space="preserve">The Panel would also like to express its position with regard to the SRSG’s assertion that UNMIK Police </w:t>
      </w:r>
      <w:r w:rsidR="00E522D5" w:rsidRPr="00995206">
        <w:rPr>
          <w:bCs/>
          <w:color w:val="000000"/>
        </w:rPr>
        <w:t xml:space="preserve">fulfilled </w:t>
      </w:r>
      <w:r w:rsidRPr="00995206">
        <w:rPr>
          <w:bCs/>
          <w:color w:val="000000"/>
        </w:rPr>
        <w:t>its obligation</w:t>
      </w:r>
      <w:r w:rsidR="00E522D5" w:rsidRPr="00995206">
        <w:rPr>
          <w:bCs/>
          <w:color w:val="000000"/>
        </w:rPr>
        <w:t>s</w:t>
      </w:r>
      <w:r w:rsidRPr="00995206">
        <w:rPr>
          <w:bCs/>
          <w:color w:val="000000"/>
        </w:rPr>
        <w:t xml:space="preserve"> to open and pursue this investigation</w:t>
      </w:r>
      <w:r w:rsidR="00E522D5" w:rsidRPr="00995206">
        <w:rPr>
          <w:bCs/>
          <w:color w:val="000000"/>
        </w:rPr>
        <w:t xml:space="preserve"> into the abduction and disappearance of the complainants’ relatives</w:t>
      </w:r>
      <w:r w:rsidR="003870E4" w:rsidRPr="00995206">
        <w:rPr>
          <w:bCs/>
          <w:color w:val="000000"/>
        </w:rPr>
        <w:t xml:space="preserve"> (see §§ </w:t>
      </w:r>
      <w:r w:rsidR="0037719A">
        <w:fldChar w:fldCharType="begin"/>
      </w:r>
      <w:r w:rsidR="0037719A">
        <w:instrText xml:space="preserve"> REF _Ref404768293 \r \h  \* MERGEFORMAT </w:instrText>
      </w:r>
      <w:r w:rsidR="0037719A">
        <w:fldChar w:fldCharType="separate"/>
      </w:r>
      <w:r w:rsidR="00A35759" w:rsidRPr="00A35759">
        <w:rPr>
          <w:bCs/>
          <w:color w:val="000000"/>
        </w:rPr>
        <w:t>140</w:t>
      </w:r>
      <w:r w:rsidR="0037719A">
        <w:fldChar w:fldCharType="end"/>
      </w:r>
      <w:r w:rsidR="003870E4" w:rsidRPr="00995206">
        <w:rPr>
          <w:bCs/>
          <w:color w:val="000000"/>
        </w:rPr>
        <w:t xml:space="preserve">, </w:t>
      </w:r>
      <w:r w:rsidR="0037719A">
        <w:fldChar w:fldCharType="begin"/>
      </w:r>
      <w:r w:rsidR="0037719A">
        <w:instrText xml:space="preserve"> REF _Ref404768295 \r \h  \* MERGEFORMAT </w:instrText>
      </w:r>
      <w:r w:rsidR="0037719A">
        <w:fldChar w:fldCharType="separate"/>
      </w:r>
      <w:r w:rsidR="00A35759" w:rsidRPr="00A35759">
        <w:rPr>
          <w:bCs/>
          <w:color w:val="000000"/>
        </w:rPr>
        <w:t>141</w:t>
      </w:r>
      <w:r w:rsidR="0037719A">
        <w:fldChar w:fldCharType="end"/>
      </w:r>
      <w:r w:rsidR="003870E4" w:rsidRPr="00995206">
        <w:rPr>
          <w:bCs/>
          <w:color w:val="000000"/>
        </w:rPr>
        <w:t xml:space="preserve">, </w:t>
      </w:r>
      <w:r w:rsidR="0037719A">
        <w:fldChar w:fldCharType="begin"/>
      </w:r>
      <w:r w:rsidR="0037719A">
        <w:instrText xml:space="preserve"> REF _Ref404768304 \r \h  \* MERGEFORMAT </w:instrText>
      </w:r>
      <w:r w:rsidR="0037719A">
        <w:fldChar w:fldCharType="separate"/>
      </w:r>
      <w:r w:rsidR="00A35759" w:rsidRPr="00A35759">
        <w:rPr>
          <w:bCs/>
          <w:color w:val="000000"/>
        </w:rPr>
        <w:t>142</w:t>
      </w:r>
      <w:r w:rsidR="0037719A">
        <w:fldChar w:fldCharType="end"/>
      </w:r>
      <w:r w:rsidR="003870E4" w:rsidRPr="00995206">
        <w:rPr>
          <w:bCs/>
          <w:color w:val="000000"/>
        </w:rPr>
        <w:t xml:space="preserve"> and </w:t>
      </w:r>
      <w:r w:rsidR="0037719A">
        <w:fldChar w:fldCharType="begin"/>
      </w:r>
      <w:r w:rsidR="0037719A">
        <w:instrText xml:space="preserve"> REF _Ref404768334 \r \h  \* MERGEFORMAT </w:instrText>
      </w:r>
      <w:r w:rsidR="0037719A">
        <w:fldChar w:fldCharType="separate"/>
      </w:r>
      <w:r w:rsidR="00A35759" w:rsidRPr="00A35759">
        <w:rPr>
          <w:bCs/>
          <w:color w:val="000000"/>
        </w:rPr>
        <w:t>146</w:t>
      </w:r>
      <w:r w:rsidR="0037719A">
        <w:fldChar w:fldCharType="end"/>
      </w:r>
      <w:r w:rsidR="003870E4" w:rsidRPr="00995206">
        <w:rPr>
          <w:bCs/>
          <w:color w:val="000000"/>
        </w:rPr>
        <w:t xml:space="preserve"> above)</w:t>
      </w:r>
      <w:r w:rsidRPr="00995206">
        <w:rPr>
          <w:bCs/>
          <w:color w:val="000000"/>
        </w:rPr>
        <w:t>. In view of all above-described deficiencies and failures in the investigation, the</w:t>
      </w:r>
      <w:r w:rsidRPr="00EE6125">
        <w:rPr>
          <w:bCs/>
          <w:color w:val="000000"/>
        </w:rPr>
        <w:t xml:space="preserve"> Panel is concerned by this conclusion. As explained above, the file does not reflect any substantive action by UNMIK authorities; thus it is not clear which and how those </w:t>
      </w:r>
      <w:r w:rsidR="00E522D5" w:rsidRPr="00EE6125">
        <w:rPr>
          <w:bCs/>
          <w:color w:val="000000"/>
        </w:rPr>
        <w:t>obligations had been complied with</w:t>
      </w:r>
      <w:r w:rsidRPr="00EE6125">
        <w:rPr>
          <w:bCs/>
          <w:color w:val="000000"/>
        </w:rPr>
        <w:t>.</w:t>
      </w:r>
    </w:p>
    <w:p w:rsidR="000B1FE4" w:rsidRPr="00EE6125" w:rsidRDefault="000B1FE4" w:rsidP="000B1FE4">
      <w:pPr>
        <w:pStyle w:val="ColorfulList-Accent11"/>
        <w:rPr>
          <w:color w:val="000000"/>
        </w:rPr>
      </w:pPr>
    </w:p>
    <w:p w:rsidR="000B1FE4" w:rsidRPr="00995206" w:rsidRDefault="000B1FE4" w:rsidP="000B1FE4">
      <w:pPr>
        <w:numPr>
          <w:ilvl w:val="0"/>
          <w:numId w:val="2"/>
        </w:numPr>
        <w:tabs>
          <w:tab w:val="num" w:pos="450"/>
          <w:tab w:val="left" w:pos="709"/>
        </w:tabs>
        <w:suppressAutoHyphens/>
        <w:autoSpaceDE w:val="0"/>
        <w:ind w:left="450" w:hanging="450"/>
        <w:jc w:val="both"/>
        <w:rPr>
          <w:color w:val="000000"/>
        </w:rPr>
      </w:pPr>
      <w:r w:rsidRPr="00995206">
        <w:rPr>
          <w:bCs/>
          <w:color w:val="000000"/>
          <w:lang w:val="en-GB"/>
        </w:rPr>
        <w:t xml:space="preserve">The </w:t>
      </w:r>
      <w:r w:rsidRPr="00995206">
        <w:rPr>
          <w:color w:val="000000"/>
        </w:rPr>
        <w:t>apparent</w:t>
      </w:r>
      <w:r w:rsidRPr="00995206">
        <w:rPr>
          <w:bCs/>
          <w:color w:val="000000"/>
          <w:lang w:val="en-GB"/>
        </w:rPr>
        <w:t xml:space="preserve"> lack of any reaction from UNMIK Police, either immediately or at later stages,</w:t>
      </w:r>
      <w:r w:rsidRPr="00995206">
        <w:rPr>
          <w:bCs/>
          <w:strike/>
          <w:color w:val="000000"/>
          <w:lang w:val="en-GB"/>
        </w:rPr>
        <w:t xml:space="preserve"> </w:t>
      </w:r>
      <w:r w:rsidRPr="00995206">
        <w:rPr>
          <w:bCs/>
          <w:color w:val="000000"/>
          <w:lang w:val="en-GB"/>
        </w:rPr>
        <w:t xml:space="preserve">may have suggested to perpetrators that the authorities were either not able, or not willing to conduct investigations into disappearances of people. Such an attitude of the authorities towards the gravest crimes in any society, and especially in post-conflict circumstances, inevitably creates a culture of impunity and can only lead to a worsening of the situation. The problems which UNMIK had encountered at the </w:t>
      </w:r>
      <w:r w:rsidRPr="00995206">
        <w:rPr>
          <w:color w:val="000000"/>
        </w:rPr>
        <w:t>beginning</w:t>
      </w:r>
      <w:r w:rsidRPr="00995206">
        <w:rPr>
          <w:bCs/>
          <w:color w:val="000000"/>
          <w:lang w:val="en-GB"/>
        </w:rPr>
        <w:t xml:space="preserve"> of its mission, which were discussed above, do not justify such inaction, either at the outset or subsequently. Certainly, in the Panel’s view, such inaction did not help UNMIK to defuse the “[t]</w:t>
      </w:r>
      <w:proofErr w:type="spellStart"/>
      <w:r w:rsidRPr="00995206">
        <w:rPr>
          <w:color w:val="000000"/>
        </w:rPr>
        <w:t>empers</w:t>
      </w:r>
      <w:proofErr w:type="spellEnd"/>
      <w:r w:rsidRPr="00995206">
        <w:rPr>
          <w:color w:val="000000"/>
        </w:rPr>
        <w:t xml:space="preserve"> and tensions … running high amongst all ethnic groups, exacerbated by reports of missing and dead persons”, mentioned by the SRSG (see § </w:t>
      </w:r>
      <w:r w:rsidR="0037719A">
        <w:fldChar w:fldCharType="begin"/>
      </w:r>
      <w:r w:rsidR="0037719A">
        <w:instrText xml:space="preserve"> REF _Ref404707793 \r \h  \* MERGEFORMAT </w:instrText>
      </w:r>
      <w:r w:rsidR="0037719A">
        <w:fldChar w:fldCharType="separate"/>
      </w:r>
      <w:r w:rsidR="00A35759" w:rsidRPr="00A35759">
        <w:rPr>
          <w:color w:val="000000"/>
        </w:rPr>
        <w:t>135</w:t>
      </w:r>
      <w:r w:rsidR="0037719A">
        <w:fldChar w:fldCharType="end"/>
      </w:r>
      <w:r w:rsidR="00E522D5" w:rsidRPr="00995206">
        <w:rPr>
          <w:color w:val="000000"/>
        </w:rPr>
        <w:t xml:space="preserve"> </w:t>
      </w:r>
      <w:r w:rsidRPr="00995206">
        <w:rPr>
          <w:color w:val="000000"/>
        </w:rPr>
        <w:t>above).</w:t>
      </w:r>
    </w:p>
    <w:p w:rsidR="000B1FE4" w:rsidRPr="00EE6125" w:rsidRDefault="000B1FE4" w:rsidP="000B1FE4">
      <w:pPr>
        <w:pStyle w:val="ColorfulList-Accent11"/>
        <w:rPr>
          <w:color w:val="000000"/>
          <w:lang w:val="en-GB"/>
        </w:rPr>
      </w:pPr>
    </w:p>
    <w:p w:rsidR="000B1FE4" w:rsidRPr="00EE6125" w:rsidRDefault="000B1FE4" w:rsidP="000B1FE4">
      <w:pPr>
        <w:numPr>
          <w:ilvl w:val="0"/>
          <w:numId w:val="2"/>
        </w:numPr>
        <w:tabs>
          <w:tab w:val="left" w:pos="709"/>
        </w:tabs>
        <w:suppressAutoHyphens/>
        <w:autoSpaceDE w:val="0"/>
        <w:ind w:left="450" w:hanging="450"/>
        <w:jc w:val="both"/>
        <w:rPr>
          <w:bCs/>
          <w:color w:val="000000"/>
          <w:lang w:val="en-GB"/>
        </w:rPr>
      </w:pPr>
      <w:r w:rsidRPr="00EE6125">
        <w:rPr>
          <w:color w:val="000000"/>
          <w:lang w:val="en-GB"/>
        </w:rPr>
        <w:t xml:space="preserve">The Panel </w:t>
      </w:r>
      <w:r w:rsidR="000E7BBA">
        <w:rPr>
          <w:color w:val="000000"/>
          <w:lang w:val="en-GB"/>
        </w:rPr>
        <w:t>recalls</w:t>
      </w:r>
      <w:r w:rsidRPr="00EE6125">
        <w:rPr>
          <w:color w:val="000000"/>
          <w:lang w:val="en-GB"/>
        </w:rPr>
        <w:t xml:space="preserve"> that the duty to investigate is not breached merely because the investigation does not produce a satisfactory result. </w:t>
      </w:r>
      <w:r w:rsidR="000E7BBA">
        <w:rPr>
          <w:color w:val="000000"/>
          <w:lang w:val="en-GB"/>
        </w:rPr>
        <w:t xml:space="preserve">The </w:t>
      </w:r>
      <w:proofErr w:type="gramStart"/>
      <w:r w:rsidR="000E7BBA">
        <w:rPr>
          <w:color w:val="000000"/>
          <w:lang w:val="en-GB"/>
        </w:rPr>
        <w:t>criteria is</w:t>
      </w:r>
      <w:proofErr w:type="gramEnd"/>
      <w:r w:rsidR="000E7BBA">
        <w:rPr>
          <w:color w:val="000000"/>
          <w:lang w:val="en-GB"/>
        </w:rPr>
        <w:t xml:space="preserve"> that the</w:t>
      </w:r>
      <w:r w:rsidRPr="00EE6125">
        <w:rPr>
          <w:color w:val="000000"/>
          <w:lang w:val="en-GB"/>
        </w:rPr>
        <w:t xml:space="preserve"> investigation must be undertaken in a </w:t>
      </w:r>
      <w:r w:rsidR="000E7BBA">
        <w:rPr>
          <w:color w:val="000000"/>
          <w:lang w:val="en-GB"/>
        </w:rPr>
        <w:t xml:space="preserve">complete and </w:t>
      </w:r>
      <w:r w:rsidRPr="00EE6125">
        <w:rPr>
          <w:color w:val="000000"/>
          <w:lang w:val="en-GB"/>
        </w:rPr>
        <w:t xml:space="preserve">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promptness, expedition and effectiveness (see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Pr="00EE6125">
        <w:rPr>
          <w:color w:val="000000"/>
          <w:lang w:val="en-GB"/>
        </w:rPr>
        <w:t xml:space="preserve"> above), as required by Article 2 of the ECHR.</w:t>
      </w:r>
    </w:p>
    <w:p w:rsidR="000B1FE4" w:rsidRPr="000B1FE4" w:rsidRDefault="000B1FE4" w:rsidP="000B1FE4">
      <w:pPr>
        <w:pStyle w:val="ColorfulList-Accent11"/>
        <w:rPr>
          <w:color w:val="FF0000"/>
          <w:lang w:val="en-GB"/>
        </w:rPr>
      </w:pPr>
    </w:p>
    <w:p w:rsidR="000B1FE4" w:rsidRPr="00995206" w:rsidRDefault="000B1FE4" w:rsidP="000B1FE4">
      <w:pPr>
        <w:numPr>
          <w:ilvl w:val="0"/>
          <w:numId w:val="2"/>
        </w:numPr>
        <w:tabs>
          <w:tab w:val="left" w:pos="709"/>
          <w:tab w:val="left" w:pos="4860"/>
        </w:tabs>
        <w:suppressAutoHyphens/>
        <w:autoSpaceDE w:val="0"/>
        <w:ind w:left="450" w:hanging="450"/>
        <w:jc w:val="both"/>
        <w:rPr>
          <w:color w:val="FF0000"/>
          <w:lang w:val="en-GB"/>
        </w:rPr>
      </w:pPr>
      <w:r w:rsidRPr="00995206">
        <w:rPr>
          <w:color w:val="000000"/>
          <w:lang w:val="en-GB"/>
        </w:rPr>
        <w:t>For its part, the Panel, in light of the shortcomings and deficiencies in the investigation described above, considers that th</w:t>
      </w:r>
      <w:r w:rsidR="00E522D5" w:rsidRPr="00995206">
        <w:rPr>
          <w:color w:val="000000"/>
          <w:lang w:val="en-GB"/>
        </w:rPr>
        <w:t>is</w:t>
      </w:r>
      <w:r w:rsidRPr="00995206">
        <w:rPr>
          <w:color w:val="000000"/>
          <w:lang w:val="en-GB"/>
        </w:rPr>
        <w:t xml:space="preserve"> case, as well as other cases of killings, abductions and disappearances previously examined, well exemplify a pattern </w:t>
      </w:r>
      <w:r w:rsidRPr="00995206">
        <w:rPr>
          <w:color w:val="000000"/>
        </w:rPr>
        <w:t xml:space="preserve">of perfunctory and </w:t>
      </w:r>
      <w:r w:rsidRPr="00995206">
        <w:rPr>
          <w:color w:val="000000"/>
          <w:lang w:val="en-GB"/>
        </w:rPr>
        <w:t xml:space="preserve">unproductive investigations conducted by the UNMIK Police into killings and disappearances in Kosovo (see § </w:t>
      </w:r>
      <w:r w:rsidR="0037719A">
        <w:fldChar w:fldCharType="begin"/>
      </w:r>
      <w:r w:rsidR="0037719A">
        <w:instrText xml:space="preserve"> REF _Ref403727675 \r \h  \* MERGEFORMAT </w:instrText>
      </w:r>
      <w:r w:rsidR="0037719A">
        <w:fldChar w:fldCharType="separate"/>
      </w:r>
      <w:r w:rsidR="00A35759" w:rsidRPr="00A35759">
        <w:rPr>
          <w:color w:val="000000"/>
          <w:lang w:val="en-GB"/>
        </w:rPr>
        <w:t>176</w:t>
      </w:r>
      <w:r w:rsidR="0037719A">
        <w:fldChar w:fldCharType="end"/>
      </w:r>
      <w:r w:rsidRPr="00995206">
        <w:rPr>
          <w:color w:val="000000"/>
          <w:lang w:val="en-GB"/>
        </w:rPr>
        <w:t xml:space="preserve"> above; compare with HRC, </w:t>
      </w:r>
      <w:r w:rsidRPr="00995206">
        <w:rPr>
          <w:i/>
          <w:color w:val="000000"/>
          <w:lang w:val="en-GB"/>
        </w:rPr>
        <w:t>Abubakar Amirov and Aïzan Amirova v. Russi</w:t>
      </w:r>
      <w:r w:rsidRPr="00995206">
        <w:rPr>
          <w:color w:val="000000"/>
          <w:lang w:val="en-GB"/>
        </w:rPr>
        <w:t>a</w:t>
      </w:r>
      <w:r w:rsidRPr="00995206">
        <w:rPr>
          <w:i/>
          <w:color w:val="000000"/>
          <w:lang w:val="en-GB"/>
        </w:rPr>
        <w:t>n Federation</w:t>
      </w:r>
      <w:r w:rsidRPr="00995206">
        <w:rPr>
          <w:color w:val="000000"/>
          <w:lang w:val="en-GB"/>
        </w:rPr>
        <w:t xml:space="preserve">, cited in § </w:t>
      </w:r>
      <w:r w:rsidR="0037719A">
        <w:fldChar w:fldCharType="begin"/>
      </w:r>
      <w:r w:rsidR="0037719A">
        <w:instrText xml:space="preserve"> REF _Ref404677616 \r \h  \* MERGEFORMAT </w:instrText>
      </w:r>
      <w:r w:rsidR="0037719A">
        <w:fldChar w:fldCharType="separate"/>
      </w:r>
      <w:r w:rsidR="00A35759" w:rsidRPr="00A35759">
        <w:rPr>
          <w:color w:val="000000"/>
          <w:lang w:val="en-GB"/>
        </w:rPr>
        <w:t>171</w:t>
      </w:r>
      <w:r w:rsidR="0037719A">
        <w:fldChar w:fldCharType="end"/>
      </w:r>
      <w:r w:rsidR="00E522D5" w:rsidRPr="00995206">
        <w:rPr>
          <w:color w:val="000000"/>
          <w:lang w:val="en-GB"/>
        </w:rPr>
        <w:t xml:space="preserve"> </w:t>
      </w:r>
      <w:r w:rsidRPr="00995206">
        <w:rPr>
          <w:color w:val="000000"/>
          <w:lang w:val="en-GB"/>
        </w:rPr>
        <w:t>above, at § 11.4</w:t>
      </w:r>
      <w:r w:rsidR="00841882" w:rsidRPr="00995206">
        <w:rPr>
          <w:color w:val="000000"/>
          <w:lang w:val="en-GB"/>
        </w:rPr>
        <w:t>;</w:t>
      </w:r>
      <w:r w:rsidR="00E522D5" w:rsidRPr="00995206">
        <w:rPr>
          <w:color w:val="000000"/>
          <w:lang w:val="en-GB"/>
        </w:rPr>
        <w:t xml:space="preserve"> </w:t>
      </w:r>
      <w:r w:rsidR="000E7BBA" w:rsidRPr="00995206">
        <w:rPr>
          <w:color w:val="000000"/>
          <w:lang w:val="en-GB"/>
        </w:rPr>
        <w:t>see also</w:t>
      </w:r>
      <w:r w:rsidR="00E522D5" w:rsidRPr="00995206">
        <w:rPr>
          <w:color w:val="000000"/>
          <w:lang w:val="en-GB"/>
        </w:rPr>
        <w:t xml:space="preserve"> HRAP,</w:t>
      </w:r>
      <w:r w:rsidR="00533B51" w:rsidRPr="00995206">
        <w:rPr>
          <w:color w:val="000000"/>
          <w:lang w:val="en-GB"/>
        </w:rPr>
        <w:t xml:space="preserve"> </w:t>
      </w:r>
      <w:r w:rsidR="00533B51" w:rsidRPr="00995206">
        <w:rPr>
          <w:i/>
          <w:color w:val="000000"/>
          <w:lang w:val="en-GB"/>
        </w:rPr>
        <w:t>Bulatović</w:t>
      </w:r>
      <w:r w:rsidR="00533B51" w:rsidRPr="00995206">
        <w:rPr>
          <w:color w:val="000000"/>
          <w:lang w:val="en-GB"/>
        </w:rPr>
        <w:t>, no. 166/09, opinion of 13 November 2014, §§ 85 and 101</w:t>
      </w:r>
      <w:r w:rsidRPr="00995206">
        <w:rPr>
          <w:color w:val="000000"/>
          <w:lang w:val="en-GB"/>
        </w:rPr>
        <w:t>).</w:t>
      </w:r>
    </w:p>
    <w:p w:rsidR="00533B51" w:rsidRPr="00995206" w:rsidRDefault="00533B51" w:rsidP="00533B51">
      <w:pPr>
        <w:pStyle w:val="ColorfulList-Accent11"/>
        <w:rPr>
          <w:color w:val="FF0000"/>
          <w:lang w:val="en-GB"/>
        </w:rPr>
      </w:pPr>
    </w:p>
    <w:p w:rsidR="000B1FE4" w:rsidRPr="00995206" w:rsidRDefault="00625079" w:rsidP="000B1FE4">
      <w:pPr>
        <w:numPr>
          <w:ilvl w:val="0"/>
          <w:numId w:val="2"/>
        </w:numPr>
        <w:tabs>
          <w:tab w:val="left" w:pos="709"/>
        </w:tabs>
        <w:suppressAutoHyphens/>
        <w:autoSpaceDE w:val="0"/>
        <w:ind w:left="450" w:hanging="450"/>
        <w:jc w:val="both"/>
        <w:rPr>
          <w:color w:val="000000"/>
          <w:lang w:val="en-GB" w:eastAsia="en-GB"/>
        </w:rPr>
      </w:pPr>
      <w:bookmarkStart w:id="101" w:name="_Ref404770144"/>
      <w:r w:rsidRPr="00995206">
        <w:rPr>
          <w:color w:val="000000"/>
        </w:rPr>
        <w:t>I</w:t>
      </w:r>
      <w:r w:rsidR="000B1FE4" w:rsidRPr="00995206">
        <w:rPr>
          <w:color w:val="000000"/>
        </w:rPr>
        <w:t>n relation to the procedural requirement of public</w:t>
      </w:r>
      <w:r w:rsidR="000B1FE4" w:rsidRPr="00995206">
        <w:rPr>
          <w:color w:val="000000"/>
          <w:lang w:val="en-GB" w:eastAsia="en-GB"/>
        </w:rPr>
        <w:t xml:space="preserve"> scrutiny, the Panel recalls that </w:t>
      </w:r>
      <w:r w:rsidR="000B1FE4" w:rsidRPr="00995206">
        <w:rPr>
          <w:color w:val="000000"/>
          <w:lang w:val="en-GB"/>
        </w:rPr>
        <w:t>Article</w:t>
      </w:r>
      <w:r w:rsidR="000B1FE4" w:rsidRPr="00995206">
        <w:rPr>
          <w:color w:val="000000"/>
          <w:lang w:val="en-GB" w:eastAsia="en-GB"/>
        </w:rPr>
        <w:t xml:space="preserve"> 2 also entails that </w:t>
      </w:r>
      <w:r w:rsidR="000B1FE4" w:rsidRPr="00995206">
        <w:rPr>
          <w:color w:val="000000"/>
          <w:lang w:val="en-GB"/>
        </w:rPr>
        <w:t>the</w:t>
      </w:r>
      <w:r w:rsidR="000B1FE4" w:rsidRPr="00995206">
        <w:rPr>
          <w:color w:val="000000"/>
          <w:lang w:val="en-GB" w:eastAsia="en-GB"/>
        </w:rPr>
        <w:t xml:space="preserve"> victim’s next-of-kin be involved in the investigation to the extent necessary to </w:t>
      </w:r>
      <w:r w:rsidR="000B1FE4" w:rsidRPr="00995206">
        <w:rPr>
          <w:bCs/>
          <w:color w:val="000000"/>
          <w:lang w:val="en-GB"/>
        </w:rPr>
        <w:t>safeguard</w:t>
      </w:r>
      <w:r w:rsidR="000B1FE4" w:rsidRPr="00995206">
        <w:rPr>
          <w:color w:val="000000"/>
          <w:lang w:val="en-GB" w:eastAsia="en-GB"/>
        </w:rPr>
        <w:t xml:space="preserve"> his or her legitimate interests. </w:t>
      </w:r>
      <w:bookmarkStart w:id="102" w:name="_Ref401074447"/>
      <w:r w:rsidR="000B1FE4" w:rsidRPr="00995206">
        <w:rPr>
          <w:color w:val="000000"/>
          <w:lang w:val="en-GB" w:eastAsia="en-GB"/>
        </w:rPr>
        <w:t xml:space="preserve">In this </w:t>
      </w:r>
      <w:r w:rsidR="006F4C09" w:rsidRPr="00995206">
        <w:rPr>
          <w:color w:val="000000"/>
          <w:lang w:val="en-GB" w:eastAsia="en-GB"/>
        </w:rPr>
        <w:t>matter</w:t>
      </w:r>
      <w:r w:rsidR="000B1FE4" w:rsidRPr="00995206">
        <w:rPr>
          <w:color w:val="000000"/>
          <w:lang w:val="en-GB" w:eastAsia="en-GB"/>
        </w:rPr>
        <w:t xml:space="preserve">, the </w:t>
      </w:r>
      <w:r w:rsidR="000E7BBA" w:rsidRPr="00995206">
        <w:rPr>
          <w:color w:val="000000"/>
          <w:lang w:val="en-GB" w:eastAsia="en-GB"/>
        </w:rPr>
        <w:t xml:space="preserve">second and third </w:t>
      </w:r>
      <w:r w:rsidR="000B1FE4" w:rsidRPr="00995206">
        <w:rPr>
          <w:color w:val="000000"/>
          <w:lang w:val="en-GB" w:eastAsia="en-GB"/>
        </w:rPr>
        <w:t>complainant</w:t>
      </w:r>
      <w:r w:rsidR="00533B51" w:rsidRPr="00995206">
        <w:rPr>
          <w:color w:val="000000"/>
          <w:lang w:val="en-GB" w:eastAsia="en-GB"/>
        </w:rPr>
        <w:t>s</w:t>
      </w:r>
      <w:r w:rsidR="00884C42" w:rsidRPr="00995206">
        <w:rPr>
          <w:color w:val="000000"/>
          <w:lang w:val="en-GB" w:eastAsia="en-GB"/>
        </w:rPr>
        <w:t xml:space="preserve"> </w:t>
      </w:r>
      <w:r w:rsidR="000B1FE4" w:rsidRPr="00995206">
        <w:rPr>
          <w:color w:val="000000"/>
          <w:lang w:val="en-GB" w:eastAsia="en-GB"/>
        </w:rPr>
        <w:t xml:space="preserve">were apparently contacted in relation to </w:t>
      </w:r>
      <w:r w:rsidR="00533B51" w:rsidRPr="00995206">
        <w:rPr>
          <w:color w:val="000000"/>
          <w:lang w:val="en-GB" w:eastAsia="en-GB"/>
        </w:rPr>
        <w:t>their</w:t>
      </w:r>
      <w:r w:rsidR="000B1FE4" w:rsidRPr="00995206">
        <w:rPr>
          <w:color w:val="000000"/>
          <w:lang w:val="en-GB" w:eastAsia="en-GB"/>
        </w:rPr>
        <w:t xml:space="preserve"> missing </w:t>
      </w:r>
      <w:r w:rsidR="00533B51" w:rsidRPr="00995206">
        <w:rPr>
          <w:color w:val="000000"/>
          <w:lang w:val="en-GB" w:eastAsia="en-GB"/>
        </w:rPr>
        <w:t xml:space="preserve">relatives </w:t>
      </w:r>
      <w:r w:rsidR="000B1FE4" w:rsidRPr="00995206">
        <w:rPr>
          <w:color w:val="000000"/>
          <w:lang w:val="en-GB" w:eastAsia="en-GB"/>
        </w:rPr>
        <w:t xml:space="preserve">once, when the ICRC collected the ante-mortem data, </w:t>
      </w:r>
      <w:r w:rsidR="000E7BBA" w:rsidRPr="00995206">
        <w:rPr>
          <w:color w:val="000000"/>
          <w:lang w:val="en-GB" w:eastAsia="en-GB"/>
        </w:rPr>
        <w:t>but it was not</w:t>
      </w:r>
      <w:r w:rsidR="00CC717D" w:rsidRPr="00995206">
        <w:rPr>
          <w:color w:val="000000"/>
          <w:lang w:val="en-GB" w:eastAsia="en-GB"/>
        </w:rPr>
        <w:t xml:space="preserve"> the case for the first complainant who was never contacted</w:t>
      </w:r>
      <w:r w:rsidR="000B1FE4" w:rsidRPr="00995206">
        <w:rPr>
          <w:color w:val="000000"/>
          <w:lang w:val="en-GB" w:eastAsia="en-GB"/>
        </w:rPr>
        <w:t xml:space="preserve">. </w:t>
      </w:r>
      <w:r w:rsidR="000B1FE4" w:rsidRPr="00995206">
        <w:rPr>
          <w:color w:val="000000"/>
        </w:rPr>
        <w:t xml:space="preserve">The Panel notes that the investigative file </w:t>
      </w:r>
      <w:r w:rsidR="00081B9A" w:rsidRPr="00995206">
        <w:rPr>
          <w:color w:val="000000"/>
        </w:rPr>
        <w:t xml:space="preserve">has an indication of one, although not properly recorded, </w:t>
      </w:r>
      <w:r w:rsidR="000B1FE4" w:rsidRPr="00995206">
        <w:rPr>
          <w:color w:val="000000"/>
        </w:rPr>
        <w:t>contact</w:t>
      </w:r>
      <w:r w:rsidR="00081B9A" w:rsidRPr="00995206">
        <w:rPr>
          <w:color w:val="000000"/>
        </w:rPr>
        <w:t xml:space="preserve"> with D.G., a relative of Mr </w:t>
      </w:r>
      <w:proofErr w:type="spellStart"/>
      <w:r w:rsidR="00081B9A" w:rsidRPr="00995206">
        <w:rPr>
          <w:color w:val="000000"/>
        </w:rPr>
        <w:t>Nedeljko</w:t>
      </w:r>
      <w:proofErr w:type="spellEnd"/>
      <w:r w:rsidR="00081B9A" w:rsidRPr="00995206">
        <w:rPr>
          <w:color w:val="000000"/>
        </w:rPr>
        <w:t xml:space="preserve"> </w:t>
      </w:r>
      <w:proofErr w:type="spellStart"/>
      <w:r w:rsidR="00081B9A" w:rsidRPr="00995206">
        <w:rPr>
          <w:lang w:val="en-GB"/>
        </w:rPr>
        <w:t>Šutaković</w:t>
      </w:r>
      <w:proofErr w:type="spellEnd"/>
      <w:r w:rsidR="00081B9A" w:rsidRPr="00995206">
        <w:rPr>
          <w:color w:val="000000"/>
        </w:rPr>
        <w:t xml:space="preserve"> </w:t>
      </w:r>
      <w:r w:rsidR="00081B9A" w:rsidRPr="00995206">
        <w:rPr>
          <w:color w:val="000000"/>
        </w:rPr>
        <w:lastRenderedPageBreak/>
        <w:t>initiated by UNMIK Police</w:t>
      </w:r>
      <w:r w:rsidR="00884C42" w:rsidRPr="00995206">
        <w:rPr>
          <w:color w:val="000000"/>
        </w:rPr>
        <w:t xml:space="preserve"> apparently in December 2004</w:t>
      </w:r>
      <w:r w:rsidR="00081B9A" w:rsidRPr="00995206">
        <w:rPr>
          <w:color w:val="000000"/>
        </w:rPr>
        <w:t xml:space="preserve">, </w:t>
      </w:r>
      <w:r w:rsidR="00884C42" w:rsidRPr="00995206">
        <w:rPr>
          <w:color w:val="000000"/>
        </w:rPr>
        <w:t>but</w:t>
      </w:r>
      <w:r w:rsidR="00081B9A" w:rsidRPr="00995206">
        <w:rPr>
          <w:color w:val="000000"/>
        </w:rPr>
        <w:t xml:space="preserve"> she refused to meet them</w:t>
      </w:r>
      <w:r w:rsidR="00884C42" w:rsidRPr="00995206">
        <w:rPr>
          <w:color w:val="000000"/>
        </w:rPr>
        <w:t xml:space="preserve"> (see § </w:t>
      </w:r>
      <w:r w:rsidR="0037719A">
        <w:fldChar w:fldCharType="begin"/>
      </w:r>
      <w:r w:rsidR="0037719A">
        <w:instrText xml:space="preserve"> REF _Ref404697372 \r \h  \* MERGEFORMAT </w:instrText>
      </w:r>
      <w:r w:rsidR="0037719A">
        <w:fldChar w:fldCharType="separate"/>
      </w:r>
      <w:r w:rsidR="00A35759" w:rsidRPr="00A35759">
        <w:rPr>
          <w:color w:val="000000"/>
        </w:rPr>
        <w:t>72</w:t>
      </w:r>
      <w:r w:rsidR="0037719A">
        <w:fldChar w:fldCharType="end"/>
      </w:r>
      <w:r w:rsidR="00884C42" w:rsidRPr="00995206">
        <w:rPr>
          <w:color w:val="000000"/>
        </w:rPr>
        <w:t xml:space="preserve"> above)</w:t>
      </w:r>
      <w:r w:rsidR="00081B9A" w:rsidRPr="00995206">
        <w:rPr>
          <w:color w:val="000000"/>
        </w:rPr>
        <w:t>.</w:t>
      </w:r>
      <w:bookmarkEnd w:id="102"/>
      <w:r w:rsidR="000B1FE4" w:rsidRPr="00995206">
        <w:rPr>
          <w:color w:val="000000"/>
        </w:rPr>
        <w:t xml:space="preserve"> </w:t>
      </w:r>
      <w:r w:rsidR="00081B9A" w:rsidRPr="00995206">
        <w:rPr>
          <w:color w:val="000000"/>
        </w:rPr>
        <w:t xml:space="preserve">On another occasion, relatives of Mr and Mrs </w:t>
      </w:r>
      <w:proofErr w:type="spellStart"/>
      <w:r w:rsidR="00081B9A" w:rsidRPr="00995206">
        <w:rPr>
          <w:color w:val="000000"/>
        </w:rPr>
        <w:t>Petrović</w:t>
      </w:r>
      <w:proofErr w:type="spellEnd"/>
      <w:r w:rsidR="00081B9A" w:rsidRPr="00995206">
        <w:rPr>
          <w:color w:val="000000"/>
        </w:rPr>
        <w:t xml:space="preserve"> apparently approached the UNMIK Police liaison officer in Belgrade, in search for information about them </w:t>
      </w:r>
      <w:r w:rsidR="00E51E58" w:rsidRPr="00995206">
        <w:rPr>
          <w:color w:val="000000"/>
        </w:rPr>
        <w:t xml:space="preserve">(see § </w:t>
      </w:r>
      <w:r w:rsidR="0037719A">
        <w:fldChar w:fldCharType="begin"/>
      </w:r>
      <w:r w:rsidR="0037719A">
        <w:instrText xml:space="preserve"> REF _Ref404709360 \r \h  \* MERGEFORMAT </w:instrText>
      </w:r>
      <w:r w:rsidR="0037719A">
        <w:fldChar w:fldCharType="separate"/>
      </w:r>
      <w:r w:rsidR="00A35759" w:rsidRPr="00A35759">
        <w:rPr>
          <w:color w:val="000000"/>
        </w:rPr>
        <w:t>93</w:t>
      </w:r>
      <w:r w:rsidR="0037719A">
        <w:fldChar w:fldCharType="end"/>
      </w:r>
      <w:r w:rsidR="00E51E58" w:rsidRPr="00995206">
        <w:rPr>
          <w:color w:val="000000"/>
        </w:rPr>
        <w:t xml:space="preserve"> above)</w:t>
      </w:r>
      <w:r w:rsidR="00081B9A" w:rsidRPr="00995206">
        <w:rPr>
          <w:color w:val="000000"/>
        </w:rPr>
        <w:t xml:space="preserve">. </w:t>
      </w:r>
      <w:r w:rsidR="000B1FE4" w:rsidRPr="00995206">
        <w:rPr>
          <w:color w:val="000000"/>
          <w:lang w:val="en-GB" w:eastAsia="en-GB"/>
        </w:rPr>
        <w:t>Thus, the Panel considers that the investigation was not open to any public scrutiny, as required by Article 2 of the ECHR.</w:t>
      </w:r>
      <w:bookmarkEnd w:id="101"/>
    </w:p>
    <w:p w:rsidR="00081B9A" w:rsidRPr="00EE6125" w:rsidRDefault="00081B9A" w:rsidP="000B1FE4">
      <w:pPr>
        <w:pStyle w:val="ColorfulList-Accent11"/>
        <w:rPr>
          <w:color w:val="000000"/>
          <w:lang w:val="en-GB"/>
        </w:rPr>
      </w:pPr>
    </w:p>
    <w:p w:rsidR="000B1FE4" w:rsidRPr="00EE6125" w:rsidRDefault="000B1FE4" w:rsidP="000B1FE4">
      <w:pPr>
        <w:numPr>
          <w:ilvl w:val="0"/>
          <w:numId w:val="2"/>
        </w:numPr>
        <w:tabs>
          <w:tab w:val="left" w:pos="709"/>
        </w:tabs>
        <w:suppressAutoHyphens/>
        <w:autoSpaceDE w:val="0"/>
        <w:ind w:left="450" w:hanging="450"/>
        <w:jc w:val="both"/>
        <w:rPr>
          <w:color w:val="000000"/>
          <w:lang w:val="en-GB"/>
        </w:rPr>
      </w:pPr>
      <w:r w:rsidRPr="00EE6125">
        <w:rPr>
          <w:color w:val="000000"/>
          <w:lang w:val="en-GB"/>
        </w:rPr>
        <w:t xml:space="preserve">Therefore, considering all stated above, the Panel concludes that UNMIK failed to carry out an </w:t>
      </w:r>
      <w:r w:rsidRPr="00EE6125">
        <w:rPr>
          <w:color w:val="000000"/>
          <w:lang w:val="en-GB" w:eastAsia="en-GB"/>
        </w:rPr>
        <w:t>effective</w:t>
      </w:r>
      <w:r w:rsidRPr="00EE6125">
        <w:rPr>
          <w:color w:val="000000"/>
          <w:lang w:val="en-GB"/>
        </w:rPr>
        <w:t xml:space="preserve"> investigation into the abduction and disappearance </w:t>
      </w:r>
      <w:r w:rsidRPr="00EE6125">
        <w:rPr>
          <w:bCs/>
          <w:color w:val="000000"/>
          <w:lang w:val="en-GB"/>
        </w:rPr>
        <w:t xml:space="preserve">of </w:t>
      </w:r>
      <w:r w:rsidRPr="00962637">
        <w:t xml:space="preserve">Mrs </w:t>
      </w:r>
      <w:proofErr w:type="spellStart"/>
      <w:r w:rsidRPr="00962637">
        <w:t>Dar</w:t>
      </w:r>
      <w:r>
        <w:t>inka</w:t>
      </w:r>
      <w:proofErr w:type="spellEnd"/>
      <w:r w:rsidRPr="00962637">
        <w:t xml:space="preserve"> </w:t>
      </w:r>
      <w:proofErr w:type="spellStart"/>
      <w:r w:rsidRPr="00962637">
        <w:t>Šutaković</w:t>
      </w:r>
      <w:proofErr w:type="spellEnd"/>
      <w:r>
        <w:t xml:space="preserve">, </w:t>
      </w:r>
      <w:r w:rsidRPr="00962637">
        <w:t xml:space="preserve">Mr </w:t>
      </w:r>
      <w:proofErr w:type="spellStart"/>
      <w:r w:rsidRPr="00962637">
        <w:t>Nedeljko</w:t>
      </w:r>
      <w:proofErr w:type="spellEnd"/>
      <w:r w:rsidRPr="00962637">
        <w:t xml:space="preserve"> </w:t>
      </w:r>
      <w:proofErr w:type="spellStart"/>
      <w:r w:rsidRPr="00962637">
        <w:t>Šutaković</w:t>
      </w:r>
      <w:proofErr w:type="spellEnd"/>
      <w:r w:rsidRPr="00962637">
        <w:t xml:space="preserve">, </w:t>
      </w:r>
      <w:r>
        <w:t xml:space="preserve">Mr </w:t>
      </w:r>
      <w:r w:rsidRPr="00962637">
        <w:t xml:space="preserve">Radovan </w:t>
      </w:r>
      <w:proofErr w:type="spellStart"/>
      <w:r w:rsidRPr="00962637">
        <w:t>Šutaković</w:t>
      </w:r>
      <w:proofErr w:type="spellEnd"/>
      <w:r>
        <w:t>,</w:t>
      </w:r>
      <w:r w:rsidRPr="00A70075">
        <w:t xml:space="preserve"> </w:t>
      </w:r>
      <w:r>
        <w:t xml:space="preserve">Mr </w:t>
      </w:r>
      <w:proofErr w:type="spellStart"/>
      <w:r w:rsidRPr="00962637">
        <w:t>Ðorđe</w:t>
      </w:r>
      <w:proofErr w:type="spellEnd"/>
      <w:r w:rsidRPr="00962637">
        <w:t xml:space="preserve"> </w:t>
      </w:r>
      <w:proofErr w:type="spellStart"/>
      <w:r w:rsidRPr="00962637">
        <w:t>Šutaković</w:t>
      </w:r>
      <w:proofErr w:type="spellEnd"/>
      <w:r>
        <w:t xml:space="preserve">, </w:t>
      </w:r>
      <w:proofErr w:type="gramStart"/>
      <w:r>
        <w:t>Mr</w:t>
      </w:r>
      <w:proofErr w:type="gramEnd"/>
      <w:r>
        <w:t xml:space="preserve"> </w:t>
      </w:r>
      <w:proofErr w:type="spellStart"/>
      <w:r>
        <w:t>Aleksandar</w:t>
      </w:r>
      <w:proofErr w:type="spellEnd"/>
      <w:r>
        <w:t xml:space="preserve"> </w:t>
      </w:r>
      <w:proofErr w:type="spellStart"/>
      <w:r w:rsidRPr="00F35DD1">
        <w:t>Šutaković</w:t>
      </w:r>
      <w:proofErr w:type="spellEnd"/>
      <w:r w:rsidRPr="00F35DD1">
        <w:t xml:space="preserve">, </w:t>
      </w:r>
      <w:r>
        <w:t xml:space="preserve">Mr </w:t>
      </w:r>
      <w:proofErr w:type="spellStart"/>
      <w:r>
        <w:t>Milenko</w:t>
      </w:r>
      <w:proofErr w:type="spellEnd"/>
      <w:r>
        <w:t xml:space="preserve"> </w:t>
      </w:r>
      <w:proofErr w:type="spellStart"/>
      <w:r>
        <w:t>Kabaš</w:t>
      </w:r>
      <w:proofErr w:type="spellEnd"/>
      <w:r>
        <w:t xml:space="preserve">, </w:t>
      </w:r>
      <w:r w:rsidRPr="00F35DD1">
        <w:rPr>
          <w:lang w:val="en-GB"/>
        </w:rPr>
        <w:t xml:space="preserve">Mr </w:t>
      </w:r>
      <w:proofErr w:type="spellStart"/>
      <w:r w:rsidRPr="00F35DD1">
        <w:rPr>
          <w:lang w:val="en-GB"/>
        </w:rPr>
        <w:t>Mića</w:t>
      </w:r>
      <w:proofErr w:type="spellEnd"/>
      <w:r w:rsidRPr="00F35DD1">
        <w:rPr>
          <w:lang w:val="en-GB"/>
        </w:rPr>
        <w:t xml:space="preserve"> </w:t>
      </w:r>
      <w:proofErr w:type="spellStart"/>
      <w:r w:rsidRPr="00F35DD1">
        <w:rPr>
          <w:lang w:val="en-GB"/>
        </w:rPr>
        <w:t>Petrović</w:t>
      </w:r>
      <w:proofErr w:type="spellEnd"/>
      <w:r w:rsidRPr="00F35DD1">
        <w:rPr>
          <w:lang w:val="en-GB"/>
        </w:rPr>
        <w:t xml:space="preserve"> and Mrs Radmila </w:t>
      </w:r>
      <w:proofErr w:type="spellStart"/>
      <w:r w:rsidRPr="00F35DD1">
        <w:rPr>
          <w:lang w:val="en-GB"/>
        </w:rPr>
        <w:t>Petrović</w:t>
      </w:r>
      <w:proofErr w:type="spellEnd"/>
      <w:r w:rsidRPr="00EE6125">
        <w:rPr>
          <w:color w:val="000000"/>
        </w:rPr>
        <w:t>.</w:t>
      </w:r>
      <w:r w:rsidRPr="00EE6125">
        <w:rPr>
          <w:color w:val="000000"/>
          <w:lang w:val="en-GB"/>
        </w:rPr>
        <w:t xml:space="preserve"> There </w:t>
      </w:r>
      <w:r w:rsidRPr="00EE6125">
        <w:rPr>
          <w:color w:val="000000"/>
          <w:lang w:val="en-GB" w:eastAsia="en-GB"/>
        </w:rPr>
        <w:t>has</w:t>
      </w:r>
      <w:r w:rsidRPr="00EE6125">
        <w:rPr>
          <w:color w:val="000000"/>
          <w:lang w:val="en-GB"/>
        </w:rPr>
        <w:t xml:space="preserve"> accordingly been a violation of Article 2, procedural limb, of the ECHR.</w:t>
      </w:r>
    </w:p>
    <w:p w:rsidR="00396222" w:rsidRPr="00EE6125" w:rsidRDefault="00396222" w:rsidP="00396222">
      <w:pPr>
        <w:pStyle w:val="ColorfulList-Accent11"/>
        <w:rPr>
          <w:color w:val="E36C0A"/>
        </w:rPr>
      </w:pPr>
      <w:bookmarkStart w:id="103" w:name="_Ref384734187"/>
    </w:p>
    <w:bookmarkEnd w:id="103"/>
    <w:p w:rsidR="00351E98" w:rsidRPr="00EE6125" w:rsidRDefault="00351E98" w:rsidP="00351E98">
      <w:pPr>
        <w:pStyle w:val="ColorfulList-Accent11"/>
        <w:numPr>
          <w:ilvl w:val="0"/>
          <w:numId w:val="4"/>
        </w:numPr>
        <w:jc w:val="both"/>
        <w:rPr>
          <w:b/>
          <w:color w:val="000000"/>
          <w:lang w:val="en-GB"/>
        </w:rPr>
      </w:pPr>
      <w:r w:rsidRPr="00EE6125">
        <w:rPr>
          <w:b/>
          <w:color w:val="000000"/>
          <w:lang w:val="en-GB"/>
        </w:rPr>
        <w:t>Alleged violation of Article 3 of the ECHR</w:t>
      </w:r>
    </w:p>
    <w:p w:rsidR="00351E98" w:rsidRPr="00EE6125" w:rsidRDefault="00351E98" w:rsidP="00351E98">
      <w:pPr>
        <w:autoSpaceDE w:val="0"/>
        <w:jc w:val="both"/>
        <w:rPr>
          <w:b/>
          <w:bCs/>
          <w:color w:val="000000"/>
          <w:lang w:val="en-GB"/>
        </w:rPr>
      </w:pPr>
    </w:p>
    <w:p w:rsidR="00351E98" w:rsidRPr="00EE6125" w:rsidRDefault="00351E98" w:rsidP="00351E98">
      <w:pPr>
        <w:pStyle w:val="ColorfulList-Accent11"/>
        <w:numPr>
          <w:ilvl w:val="0"/>
          <w:numId w:val="2"/>
        </w:numPr>
        <w:tabs>
          <w:tab w:val="num" w:pos="450"/>
        </w:tabs>
        <w:autoSpaceDE w:val="0"/>
        <w:ind w:left="450" w:hanging="450"/>
        <w:jc w:val="both"/>
        <w:rPr>
          <w:color w:val="000000"/>
          <w:lang w:val="en-GB"/>
        </w:rPr>
      </w:pPr>
      <w:r w:rsidRPr="00EE6125">
        <w:rPr>
          <w:color w:val="000000"/>
          <w:lang w:val="en-GB"/>
        </w:rPr>
        <w:t xml:space="preserve">The Panel </w:t>
      </w:r>
      <w:r w:rsidRPr="00EE6125">
        <w:rPr>
          <w:bCs/>
          <w:color w:val="000000"/>
        </w:rPr>
        <w:t>considers</w:t>
      </w:r>
      <w:r w:rsidRPr="00EE6125">
        <w:rPr>
          <w:color w:val="000000"/>
          <w:lang w:val="en-GB"/>
        </w:rPr>
        <w:t xml:space="preserve"> that the complainant</w:t>
      </w:r>
      <w:r w:rsidR="00642FB6" w:rsidRPr="00EE6125">
        <w:rPr>
          <w:color w:val="000000"/>
          <w:lang w:val="en-GB"/>
        </w:rPr>
        <w:t>s</w:t>
      </w:r>
      <w:r w:rsidRPr="00EE6125">
        <w:rPr>
          <w:color w:val="000000"/>
          <w:lang w:val="en-GB"/>
        </w:rPr>
        <w:t xml:space="preserve"> </w:t>
      </w:r>
      <w:r w:rsidRPr="00CF3D5A">
        <w:rPr>
          <w:color w:val="000000"/>
          <w:lang w:val="en-GB"/>
        </w:rPr>
        <w:t>invoke, in substance, a violation of the</w:t>
      </w:r>
      <w:r w:rsidR="00642FB6" w:rsidRPr="00CF3D5A">
        <w:rPr>
          <w:color w:val="000000"/>
          <w:lang w:val="en-GB"/>
        </w:rPr>
        <w:t>ir</w:t>
      </w:r>
      <w:r w:rsidRPr="00CF3D5A">
        <w:rPr>
          <w:color w:val="000000"/>
          <w:lang w:val="en-GB"/>
        </w:rPr>
        <w:t xml:space="preserve"> right to be free from </w:t>
      </w:r>
      <w:r w:rsidRPr="00CF3D5A">
        <w:rPr>
          <w:color w:val="000000"/>
        </w:rPr>
        <w:t>inhumane</w:t>
      </w:r>
      <w:r w:rsidRPr="00CF3D5A">
        <w:rPr>
          <w:color w:val="000000"/>
          <w:lang w:val="en-GB"/>
        </w:rPr>
        <w:t xml:space="preserve"> or degrading treatment arising out of the </w:t>
      </w:r>
      <w:r w:rsidR="00642FB6" w:rsidRPr="00CF3D5A">
        <w:rPr>
          <w:color w:val="000000"/>
          <w:lang w:val="en-GB"/>
        </w:rPr>
        <w:t xml:space="preserve">abduction and </w:t>
      </w:r>
      <w:r w:rsidRPr="00CF3D5A">
        <w:rPr>
          <w:color w:val="000000"/>
          <w:lang w:val="en-GB"/>
        </w:rPr>
        <w:t xml:space="preserve">disappearance of </w:t>
      </w:r>
      <w:r w:rsidR="00642FB6" w:rsidRPr="00CF3D5A">
        <w:rPr>
          <w:color w:val="000000"/>
          <w:lang w:val="en-GB"/>
        </w:rPr>
        <w:t>their relatives</w:t>
      </w:r>
      <w:r w:rsidRPr="00CF3D5A">
        <w:rPr>
          <w:color w:val="000000"/>
          <w:lang w:val="en-GB"/>
        </w:rPr>
        <w:t>, as guaranteed by Article</w:t>
      </w:r>
      <w:r w:rsidRPr="00EE6125">
        <w:rPr>
          <w:color w:val="000000"/>
          <w:lang w:val="en-GB"/>
        </w:rPr>
        <w:t xml:space="preserve"> 3 of the ECHR. </w:t>
      </w:r>
    </w:p>
    <w:p w:rsidR="00351E98" w:rsidRPr="00EE6125" w:rsidRDefault="00351E98" w:rsidP="00351E98">
      <w:pPr>
        <w:pStyle w:val="ColorfulList-Accent11"/>
        <w:autoSpaceDE w:val="0"/>
        <w:ind w:left="360"/>
        <w:jc w:val="both"/>
        <w:rPr>
          <w:color w:val="000000"/>
          <w:lang w:val="en-GB"/>
        </w:rPr>
      </w:pPr>
    </w:p>
    <w:p w:rsidR="00351E98" w:rsidRPr="00EE6125" w:rsidRDefault="00351E98" w:rsidP="00351E98">
      <w:pPr>
        <w:pStyle w:val="ListParagraph1"/>
        <w:numPr>
          <w:ilvl w:val="0"/>
          <w:numId w:val="12"/>
        </w:numPr>
        <w:jc w:val="both"/>
        <w:rPr>
          <w:b/>
          <w:color w:val="000000"/>
        </w:rPr>
      </w:pPr>
      <w:r w:rsidRPr="00EE6125">
        <w:rPr>
          <w:b/>
          <w:color w:val="000000"/>
        </w:rPr>
        <w:t xml:space="preserve">The scope of the Panel’s review </w:t>
      </w:r>
    </w:p>
    <w:p w:rsidR="00351E98" w:rsidRPr="00EE6125" w:rsidRDefault="00351E98" w:rsidP="00351E98">
      <w:pPr>
        <w:pStyle w:val="ColorfulList-Accent11"/>
        <w:autoSpaceDE w:val="0"/>
        <w:ind w:left="360"/>
        <w:jc w:val="both"/>
        <w:rPr>
          <w:color w:val="000000"/>
          <w:lang w:val="en-GB"/>
        </w:rPr>
      </w:pPr>
    </w:p>
    <w:p w:rsidR="00351E98" w:rsidRPr="00C5394C" w:rsidRDefault="00351E98" w:rsidP="00351E98">
      <w:pPr>
        <w:pStyle w:val="ColorfulList-Accent11"/>
        <w:numPr>
          <w:ilvl w:val="0"/>
          <w:numId w:val="2"/>
        </w:numPr>
        <w:tabs>
          <w:tab w:val="num" w:pos="450"/>
        </w:tabs>
        <w:autoSpaceDE w:val="0"/>
        <w:ind w:left="450" w:hanging="450"/>
        <w:jc w:val="both"/>
        <w:rPr>
          <w:color w:val="000000"/>
          <w:lang w:val="en-GB"/>
        </w:rPr>
      </w:pPr>
      <w:r w:rsidRPr="00EE6125">
        <w:rPr>
          <w:color w:val="000000"/>
          <w:lang w:val="en-GB"/>
        </w:rPr>
        <w:t xml:space="preserve">The Panel will consider </w:t>
      </w:r>
      <w:r w:rsidRPr="00EE6125">
        <w:rPr>
          <w:bCs/>
          <w:color w:val="000000"/>
        </w:rPr>
        <w:t>the</w:t>
      </w:r>
      <w:r w:rsidRPr="00EE6125">
        <w:rPr>
          <w:color w:val="000000"/>
          <w:lang w:val="en-GB"/>
        </w:rPr>
        <w:t xml:space="preserve"> allegations under </w:t>
      </w:r>
      <w:r w:rsidRPr="00C5394C">
        <w:rPr>
          <w:color w:val="000000"/>
          <w:lang w:val="en-GB"/>
        </w:rPr>
        <w:t xml:space="preserve">Article 3 of the ECHR, applying the same scope of </w:t>
      </w:r>
      <w:r w:rsidRPr="00C5394C">
        <w:rPr>
          <w:color w:val="000000"/>
        </w:rPr>
        <w:t>review</w:t>
      </w:r>
      <w:r w:rsidRPr="00C5394C">
        <w:rPr>
          <w:color w:val="000000"/>
          <w:lang w:val="en-GB"/>
        </w:rPr>
        <w:t xml:space="preserve"> as was set out with regard to Article 2 (see §§ </w:t>
      </w:r>
      <w:r w:rsidR="0037719A">
        <w:fldChar w:fldCharType="begin"/>
      </w:r>
      <w:r w:rsidR="0037719A">
        <w:instrText xml:space="preserve"> REF _Ref401303498 \r \h  \* MERGEFORMAT </w:instrText>
      </w:r>
      <w:r w:rsidR="0037719A">
        <w:fldChar w:fldCharType="separate"/>
      </w:r>
      <w:r w:rsidR="00A35759" w:rsidRPr="00A35759">
        <w:rPr>
          <w:color w:val="000000"/>
          <w:lang w:val="en-GB"/>
        </w:rPr>
        <w:t>120</w:t>
      </w:r>
      <w:r w:rsidR="0037719A">
        <w:fldChar w:fldCharType="end"/>
      </w:r>
      <w:r w:rsidR="0020680D" w:rsidRPr="00C5394C">
        <w:rPr>
          <w:color w:val="000000"/>
          <w:lang w:val="en-GB"/>
        </w:rPr>
        <w:t xml:space="preserve"> - </w:t>
      </w:r>
      <w:r w:rsidR="0037719A">
        <w:fldChar w:fldCharType="begin"/>
      </w:r>
      <w:r w:rsidR="0037719A">
        <w:instrText xml:space="preserve"> REF _Ref401157497 \r \h  \* MERGEFORMAT </w:instrText>
      </w:r>
      <w:r w:rsidR="0037719A">
        <w:fldChar w:fldCharType="separate"/>
      </w:r>
      <w:r w:rsidR="00A35759" w:rsidRPr="00A35759">
        <w:rPr>
          <w:color w:val="000000"/>
          <w:lang w:val="en-GB"/>
        </w:rPr>
        <w:t>124</w:t>
      </w:r>
      <w:r w:rsidR="0037719A">
        <w:fldChar w:fldCharType="end"/>
      </w:r>
      <w:r w:rsidRPr="00C5394C">
        <w:rPr>
          <w:color w:val="000000"/>
          <w:lang w:val="en-GB"/>
        </w:rPr>
        <w:t xml:space="preserve"> above).</w:t>
      </w:r>
    </w:p>
    <w:p w:rsidR="00351E98" w:rsidRPr="00EE6125" w:rsidRDefault="00351E98" w:rsidP="00351E98">
      <w:pPr>
        <w:pStyle w:val="ColorfulList-Accent11"/>
        <w:tabs>
          <w:tab w:val="num" w:pos="450"/>
        </w:tabs>
        <w:autoSpaceDE w:val="0"/>
        <w:ind w:left="450" w:hanging="450"/>
        <w:jc w:val="both"/>
        <w:rPr>
          <w:color w:val="000000"/>
          <w:lang w:val="en-GB"/>
        </w:rPr>
      </w:pPr>
    </w:p>
    <w:p w:rsidR="00351E98" w:rsidRPr="00EE6125" w:rsidRDefault="00351E98" w:rsidP="00351E98">
      <w:pPr>
        <w:pStyle w:val="ColorfulList-Accent11"/>
        <w:numPr>
          <w:ilvl w:val="0"/>
          <w:numId w:val="2"/>
        </w:numPr>
        <w:tabs>
          <w:tab w:val="num" w:pos="450"/>
        </w:tabs>
        <w:autoSpaceDE w:val="0"/>
        <w:ind w:left="450" w:hanging="450"/>
        <w:jc w:val="both"/>
        <w:rPr>
          <w:color w:val="000000"/>
          <w:lang w:val="en-GB"/>
        </w:rPr>
      </w:pPr>
      <w:bookmarkStart w:id="104" w:name="_Ref374623030"/>
      <w:r w:rsidRPr="00EE6125">
        <w:rPr>
          <w:color w:val="000000"/>
          <w:lang w:val="en-GB"/>
        </w:rPr>
        <w:t xml:space="preserve">The Panel recalls that the European Court of Human Rights has found on many occasions that a situation of </w:t>
      </w:r>
      <w:r w:rsidRPr="00EE6125">
        <w:rPr>
          <w:bCs/>
          <w:color w:val="000000"/>
        </w:rPr>
        <w:t>enforced</w:t>
      </w:r>
      <w:r w:rsidRPr="00EE6125">
        <w:rPr>
          <w:color w:val="000000"/>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EE6125">
        <w:rPr>
          <w:i/>
          <w:color w:val="000000"/>
          <w:lang w:val="en-GB"/>
        </w:rPr>
        <w:t>Çakici v. Turkey</w:t>
      </w:r>
      <w:r w:rsidRPr="00EE6125">
        <w:rPr>
          <w:color w:val="000000"/>
          <w:lang w:val="en-GB"/>
        </w:rPr>
        <w:t xml:space="preserve">, no. 23657/94, judgment of 8 July 1999, § 98, </w:t>
      </w:r>
      <w:r w:rsidRPr="00EE6125">
        <w:rPr>
          <w:i/>
          <w:color w:val="000000"/>
          <w:lang w:val="en-GB"/>
        </w:rPr>
        <w:t>ECHR</w:t>
      </w:r>
      <w:r w:rsidRPr="00EE6125">
        <w:rPr>
          <w:color w:val="000000"/>
          <w:lang w:val="en-GB"/>
        </w:rPr>
        <w:t xml:space="preserve">, 1999-IV; ECtHR [GC], </w:t>
      </w:r>
      <w:r w:rsidRPr="00EE6125">
        <w:rPr>
          <w:i/>
          <w:color w:val="000000"/>
          <w:lang w:val="en-GB"/>
        </w:rPr>
        <w:t>Cyprus v. Turkey</w:t>
      </w:r>
      <w:r w:rsidRPr="00EE6125">
        <w:rPr>
          <w:color w:val="000000"/>
          <w:lang w:val="en-GB"/>
        </w:rPr>
        <w:t>, no. 25781/94, judgment of 10 May 2001, § 156,</w:t>
      </w:r>
      <w:r w:rsidRPr="00EE6125">
        <w:rPr>
          <w:i/>
          <w:color w:val="000000"/>
          <w:lang w:val="en-GB"/>
        </w:rPr>
        <w:t xml:space="preserve"> ECHR</w:t>
      </w:r>
      <w:r w:rsidRPr="00EE6125">
        <w:rPr>
          <w:color w:val="000000"/>
          <w:lang w:val="en-GB"/>
        </w:rPr>
        <w:t xml:space="preserve">, 2001-IV; ECtHR, </w:t>
      </w:r>
      <w:r w:rsidRPr="00EE6125">
        <w:rPr>
          <w:i/>
          <w:color w:val="000000"/>
          <w:lang w:val="en-GB"/>
        </w:rPr>
        <w:t>Orhan v. Turkey</w:t>
      </w:r>
      <w:r w:rsidRPr="00EE6125">
        <w:rPr>
          <w:color w:val="000000"/>
          <w:lang w:val="en-GB"/>
        </w:rPr>
        <w:t xml:space="preserve">, no. 25656/94, judgment of 18 June 2002, § 358; ECtHR, </w:t>
      </w:r>
      <w:r w:rsidRPr="00EE6125">
        <w:rPr>
          <w:i/>
          <w:color w:val="000000"/>
          <w:lang w:val="en-GB"/>
        </w:rPr>
        <w:t>Bazorkina v. Russia</w:t>
      </w:r>
      <w:r w:rsidRPr="00EE6125">
        <w:rPr>
          <w:color w:val="000000"/>
          <w:lang w:val="en-GB"/>
        </w:rPr>
        <w:t xml:space="preserve">, cited in § </w:t>
      </w:r>
      <w:r w:rsidR="002B1686" w:rsidRPr="00EE6125">
        <w:rPr>
          <w:color w:val="000000"/>
          <w:lang w:val="en-GB"/>
        </w:rPr>
        <w:fldChar w:fldCharType="begin"/>
      </w:r>
      <w:r w:rsidR="0020680D" w:rsidRPr="00EE6125">
        <w:rPr>
          <w:color w:val="000000"/>
          <w:lang w:val="en-GB"/>
        </w:rPr>
        <w:instrText xml:space="preserve"> </w:instrText>
      </w:r>
      <w:r w:rsidR="0078377B">
        <w:rPr>
          <w:color w:val="000000"/>
          <w:lang w:val="en-GB"/>
        </w:rPr>
        <w:instrText>REF</w:instrText>
      </w:r>
      <w:r w:rsidR="0020680D" w:rsidRPr="00EE6125">
        <w:rPr>
          <w:color w:val="000000"/>
          <w:lang w:val="en-GB"/>
        </w:rPr>
        <w:instrText xml:space="preserve"> _Ref401251707 \r \h </w:instrText>
      </w:r>
      <w:r w:rsidR="002B1686" w:rsidRPr="00EE6125">
        <w:rPr>
          <w:color w:val="000000"/>
          <w:lang w:val="en-GB"/>
        </w:rPr>
      </w:r>
      <w:r w:rsidR="002B1686" w:rsidRPr="00EE6125">
        <w:rPr>
          <w:color w:val="000000"/>
          <w:lang w:val="en-GB"/>
        </w:rPr>
        <w:fldChar w:fldCharType="separate"/>
      </w:r>
      <w:r w:rsidR="00A35759">
        <w:rPr>
          <w:color w:val="000000"/>
          <w:lang w:val="en-GB"/>
        </w:rPr>
        <w:t>170</w:t>
      </w:r>
      <w:r w:rsidR="002B1686" w:rsidRPr="00EE6125">
        <w:rPr>
          <w:color w:val="000000"/>
          <w:lang w:val="en-GB"/>
        </w:rPr>
        <w:fldChar w:fldCharType="end"/>
      </w:r>
      <w:r w:rsidR="0020680D" w:rsidRPr="00EE6125">
        <w:rPr>
          <w:color w:val="000000"/>
          <w:lang w:val="en-GB"/>
        </w:rPr>
        <w:t xml:space="preserve"> </w:t>
      </w:r>
      <w:r w:rsidRPr="00EE6125">
        <w:rPr>
          <w:color w:val="000000"/>
          <w:lang w:val="en-GB"/>
        </w:rPr>
        <w:t xml:space="preserve">above, at § 139; ECtHR, </w:t>
      </w:r>
      <w:r w:rsidRPr="00EE6125">
        <w:rPr>
          <w:i/>
          <w:color w:val="000000"/>
          <w:lang w:val="en-GB"/>
        </w:rPr>
        <w:t>Palić v. Bosnia and Herzegovina,</w:t>
      </w:r>
      <w:r w:rsidRPr="00EE6125">
        <w:rPr>
          <w:color w:val="000000"/>
          <w:lang w:val="en-GB"/>
        </w:rPr>
        <w:t xml:space="preserve"> cited in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Pr="00EE6125">
        <w:rPr>
          <w:color w:val="000000"/>
          <w:lang w:val="en-GB"/>
        </w:rPr>
        <w:t xml:space="preserve"> above, at § 74; ECtHR, </w:t>
      </w:r>
      <w:r w:rsidRPr="00EE6125">
        <w:rPr>
          <w:i/>
          <w:color w:val="000000"/>
          <w:lang w:val="en-GB"/>
        </w:rPr>
        <w:t>Alpatu Israilova v. Russia</w:t>
      </w:r>
      <w:r w:rsidRPr="00EE6125">
        <w:rPr>
          <w:color w:val="000000"/>
          <w:lang w:val="en-GB"/>
        </w:rPr>
        <w:t xml:space="preserve">, no. 15438/05, judgment of 14 March 2013, § 69; see also HRAP, </w:t>
      </w:r>
      <w:r w:rsidRPr="00EE6125">
        <w:rPr>
          <w:i/>
          <w:color w:val="000000"/>
          <w:lang w:val="en-GB"/>
        </w:rPr>
        <w:t>Zdravković</w:t>
      </w:r>
      <w:r w:rsidRPr="00EE6125">
        <w:rPr>
          <w:color w:val="000000"/>
          <w:lang w:val="en-GB"/>
        </w:rPr>
        <w:t xml:space="preserve">, no. 46/08, decision of 17 April 2009, § 41). “It is especially in respect of the latter that a relative may claim directly to be a victim of the authorities’ conduct” (see, among others, ECtHR, </w:t>
      </w:r>
      <w:r w:rsidRPr="00EE6125">
        <w:rPr>
          <w:i/>
          <w:color w:val="000000"/>
          <w:lang w:val="en-GB"/>
        </w:rPr>
        <w:t>Er and Others v. Turkey</w:t>
      </w:r>
      <w:r w:rsidRPr="00EE6125">
        <w:rPr>
          <w:color w:val="000000"/>
          <w:lang w:val="en-GB"/>
        </w:rPr>
        <w:t>, no. 23016/04, judgment of 31 July 2012, § 94).</w:t>
      </w:r>
      <w:bookmarkEnd w:id="104"/>
    </w:p>
    <w:p w:rsidR="00351E98" w:rsidRPr="00EE6125" w:rsidRDefault="00351E98" w:rsidP="00351E98">
      <w:pPr>
        <w:tabs>
          <w:tab w:val="num" w:pos="450"/>
        </w:tabs>
        <w:suppressAutoHyphens/>
        <w:autoSpaceDE w:val="0"/>
        <w:ind w:left="450" w:hanging="450"/>
        <w:jc w:val="both"/>
        <w:rPr>
          <w:color w:val="000000"/>
          <w:lang w:val="en-GB"/>
        </w:rPr>
      </w:pPr>
    </w:p>
    <w:p w:rsidR="00351E98" w:rsidRPr="00EE6125" w:rsidRDefault="00351E98" w:rsidP="00351E98">
      <w:pPr>
        <w:pStyle w:val="ColorfulList-Accent11"/>
        <w:numPr>
          <w:ilvl w:val="0"/>
          <w:numId w:val="2"/>
        </w:numPr>
        <w:suppressAutoHyphens w:val="0"/>
        <w:autoSpaceDE w:val="0"/>
        <w:ind w:left="450" w:hanging="450"/>
        <w:contextualSpacing/>
        <w:jc w:val="both"/>
        <w:rPr>
          <w:color w:val="000000"/>
          <w:lang w:val="en-GB"/>
        </w:rPr>
      </w:pPr>
      <w:bookmarkStart w:id="105" w:name="_Ref374623316"/>
      <w:r w:rsidRPr="00EE6125">
        <w:rPr>
          <w:color w:val="000000"/>
          <w:lang w:val="en-GB"/>
        </w:rPr>
        <w:t xml:space="preserve">Lastly, where  </w:t>
      </w:r>
      <w:r w:rsidRPr="00EE6125">
        <w:rPr>
          <w:bCs/>
          <w:color w:val="000000"/>
        </w:rPr>
        <w:t>mental</w:t>
      </w:r>
      <w:r w:rsidRPr="00EE6125">
        <w:rPr>
          <w:color w:val="000000"/>
          <w:lang w:val="en-GB"/>
        </w:rPr>
        <w:t xml:space="preserve"> suffering caused by the authorities’ reactions to the disappearance is at stake, the alleged violation is contrary to the substantive element of Article 3 of the ECHR, not its procedural element, as is the case with regard to Article 2 (ECtHR, </w:t>
      </w:r>
      <w:r w:rsidRPr="00EE6125">
        <w:rPr>
          <w:i/>
          <w:color w:val="000000"/>
          <w:lang w:val="en-GB"/>
        </w:rPr>
        <w:t>Gelayevy v. Russia</w:t>
      </w:r>
      <w:r w:rsidRPr="00EE6125">
        <w:rPr>
          <w:color w:val="000000"/>
          <w:lang w:val="en-GB"/>
        </w:rPr>
        <w:t>, no. 20216/07, judgment of 15 July 2010, §§ 147 - 148).</w:t>
      </w:r>
      <w:bookmarkEnd w:id="105"/>
    </w:p>
    <w:p w:rsidR="00351E98" w:rsidRDefault="00351E98" w:rsidP="00351E98">
      <w:pPr>
        <w:pStyle w:val="ListParagraph1"/>
        <w:ind w:left="0"/>
        <w:jc w:val="both"/>
        <w:rPr>
          <w:b/>
          <w:color w:val="000000"/>
        </w:rPr>
      </w:pPr>
    </w:p>
    <w:p w:rsidR="00351E98" w:rsidRPr="00EE6125" w:rsidRDefault="00351E98" w:rsidP="00351E98">
      <w:pPr>
        <w:pStyle w:val="ListParagraph1"/>
        <w:numPr>
          <w:ilvl w:val="0"/>
          <w:numId w:val="12"/>
        </w:numPr>
        <w:jc w:val="both"/>
        <w:rPr>
          <w:b/>
          <w:color w:val="000000"/>
        </w:rPr>
      </w:pPr>
      <w:r w:rsidRPr="00EE6125">
        <w:rPr>
          <w:b/>
          <w:color w:val="000000"/>
        </w:rPr>
        <w:t xml:space="preserve">The Parties’ submissions </w:t>
      </w:r>
    </w:p>
    <w:p w:rsidR="00351E98" w:rsidRPr="00EE6125" w:rsidRDefault="00351E98" w:rsidP="00351E98">
      <w:pPr>
        <w:suppressAutoHyphens/>
        <w:autoSpaceDE w:val="0"/>
        <w:ind w:left="36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lastRenderedPageBreak/>
        <w:t>The complainant</w:t>
      </w:r>
      <w:r w:rsidR="00496F5D" w:rsidRPr="00EE6125">
        <w:rPr>
          <w:color w:val="000000"/>
          <w:lang w:val="en-GB"/>
        </w:rPr>
        <w:t>s</w:t>
      </w:r>
      <w:r w:rsidRPr="00EE6125">
        <w:rPr>
          <w:color w:val="000000"/>
          <w:lang w:val="en-GB"/>
        </w:rPr>
        <w:t xml:space="preserve"> allege that the lack of information and certainty surrounding </w:t>
      </w:r>
      <w:r w:rsidRPr="00EE6125">
        <w:rPr>
          <w:bCs/>
          <w:color w:val="000000"/>
          <w:lang w:val="en-GB"/>
        </w:rPr>
        <w:t>the</w:t>
      </w:r>
      <w:r w:rsidRPr="00EE6125">
        <w:rPr>
          <w:color w:val="000000"/>
          <w:lang w:val="en-GB"/>
        </w:rPr>
        <w:t xml:space="preserve"> </w:t>
      </w:r>
      <w:r w:rsidR="00496F5D" w:rsidRPr="00EE6125">
        <w:rPr>
          <w:color w:val="000000"/>
          <w:lang w:val="en-GB"/>
        </w:rPr>
        <w:t xml:space="preserve">abduction and </w:t>
      </w:r>
      <w:r w:rsidRPr="00EE6125">
        <w:rPr>
          <w:bCs/>
          <w:color w:val="000000"/>
          <w:lang w:val="en-GB"/>
        </w:rPr>
        <w:t>disappearance</w:t>
      </w:r>
      <w:r w:rsidRPr="00EE6125">
        <w:rPr>
          <w:color w:val="000000"/>
          <w:lang w:val="en-GB"/>
        </w:rPr>
        <w:t xml:space="preserve"> of </w:t>
      </w:r>
      <w:r w:rsidR="00496F5D" w:rsidRPr="00962637">
        <w:t xml:space="preserve">Mrs </w:t>
      </w:r>
      <w:proofErr w:type="spellStart"/>
      <w:r w:rsidR="00496F5D" w:rsidRPr="00962637">
        <w:t>Dar</w:t>
      </w:r>
      <w:r w:rsidR="00496F5D">
        <w:t>inka</w:t>
      </w:r>
      <w:proofErr w:type="spellEnd"/>
      <w:r w:rsidR="00496F5D" w:rsidRPr="00962637">
        <w:t xml:space="preserve"> </w:t>
      </w:r>
      <w:proofErr w:type="spellStart"/>
      <w:r w:rsidR="00496F5D" w:rsidRPr="00962637">
        <w:t>Šutaković</w:t>
      </w:r>
      <w:proofErr w:type="spellEnd"/>
      <w:r w:rsidR="00496F5D">
        <w:t xml:space="preserve">, </w:t>
      </w:r>
      <w:r w:rsidR="00496F5D" w:rsidRPr="00962637">
        <w:t xml:space="preserve">Mr </w:t>
      </w:r>
      <w:proofErr w:type="spellStart"/>
      <w:r w:rsidR="00496F5D" w:rsidRPr="00962637">
        <w:t>Nedeljko</w:t>
      </w:r>
      <w:proofErr w:type="spellEnd"/>
      <w:r w:rsidR="00496F5D" w:rsidRPr="00962637">
        <w:t xml:space="preserve"> </w:t>
      </w:r>
      <w:proofErr w:type="spellStart"/>
      <w:r w:rsidR="00496F5D" w:rsidRPr="00962637">
        <w:t>Šutaković</w:t>
      </w:r>
      <w:proofErr w:type="spellEnd"/>
      <w:r w:rsidR="00496F5D" w:rsidRPr="00962637">
        <w:t xml:space="preserve">, </w:t>
      </w:r>
      <w:r w:rsidR="00496F5D">
        <w:t xml:space="preserve">Mr </w:t>
      </w:r>
      <w:r w:rsidR="00496F5D" w:rsidRPr="00962637">
        <w:t xml:space="preserve">Radovan </w:t>
      </w:r>
      <w:proofErr w:type="spellStart"/>
      <w:r w:rsidR="00496F5D" w:rsidRPr="00962637">
        <w:t>Šutaković</w:t>
      </w:r>
      <w:proofErr w:type="spellEnd"/>
      <w:r w:rsidR="00496F5D">
        <w:t>,</w:t>
      </w:r>
      <w:r w:rsidR="00496F5D" w:rsidRPr="00A70075">
        <w:t xml:space="preserve"> </w:t>
      </w:r>
      <w:r w:rsidR="00496F5D">
        <w:t xml:space="preserve">Mr </w:t>
      </w:r>
      <w:proofErr w:type="spellStart"/>
      <w:r w:rsidR="00496F5D" w:rsidRPr="00962637">
        <w:t>Ðorđe</w:t>
      </w:r>
      <w:proofErr w:type="spellEnd"/>
      <w:r w:rsidR="00496F5D" w:rsidRPr="00962637">
        <w:t xml:space="preserve"> </w:t>
      </w:r>
      <w:proofErr w:type="spellStart"/>
      <w:r w:rsidR="00496F5D" w:rsidRPr="00962637">
        <w:t>Šutaković</w:t>
      </w:r>
      <w:proofErr w:type="spellEnd"/>
      <w:r w:rsidR="00496F5D">
        <w:t xml:space="preserve">, Mr </w:t>
      </w:r>
      <w:proofErr w:type="spellStart"/>
      <w:r w:rsidR="00496F5D">
        <w:t>Aleksandar</w:t>
      </w:r>
      <w:proofErr w:type="spellEnd"/>
      <w:r w:rsidR="00496F5D">
        <w:t xml:space="preserve"> </w:t>
      </w:r>
      <w:proofErr w:type="spellStart"/>
      <w:r w:rsidR="00496F5D" w:rsidRPr="00F35DD1">
        <w:t>Šutaković</w:t>
      </w:r>
      <w:proofErr w:type="spellEnd"/>
      <w:r w:rsidR="00496F5D" w:rsidRPr="00F35DD1">
        <w:t xml:space="preserve">, </w:t>
      </w:r>
      <w:r w:rsidR="00496F5D">
        <w:t xml:space="preserve">Mr </w:t>
      </w:r>
      <w:proofErr w:type="spellStart"/>
      <w:r w:rsidR="00496F5D">
        <w:t>Milenko</w:t>
      </w:r>
      <w:proofErr w:type="spellEnd"/>
      <w:r w:rsidR="00496F5D">
        <w:t xml:space="preserve"> </w:t>
      </w:r>
      <w:proofErr w:type="spellStart"/>
      <w:r w:rsidR="00496F5D">
        <w:t>Kabaš</w:t>
      </w:r>
      <w:proofErr w:type="spellEnd"/>
      <w:r w:rsidR="00496F5D">
        <w:t xml:space="preserve">, </w:t>
      </w:r>
      <w:r w:rsidR="00496F5D" w:rsidRPr="00F35DD1">
        <w:rPr>
          <w:lang w:val="en-GB"/>
        </w:rPr>
        <w:t xml:space="preserve">Mr </w:t>
      </w:r>
      <w:proofErr w:type="spellStart"/>
      <w:r w:rsidR="00496F5D" w:rsidRPr="00F35DD1">
        <w:rPr>
          <w:lang w:val="en-GB"/>
        </w:rPr>
        <w:t>Mića</w:t>
      </w:r>
      <w:proofErr w:type="spellEnd"/>
      <w:r w:rsidR="00496F5D" w:rsidRPr="00F35DD1">
        <w:rPr>
          <w:lang w:val="en-GB"/>
        </w:rPr>
        <w:t xml:space="preserve"> </w:t>
      </w:r>
      <w:proofErr w:type="spellStart"/>
      <w:r w:rsidR="00496F5D" w:rsidRPr="00F35DD1">
        <w:rPr>
          <w:lang w:val="en-GB"/>
        </w:rPr>
        <w:t>Petrović</w:t>
      </w:r>
      <w:proofErr w:type="spellEnd"/>
      <w:r w:rsidR="00496F5D" w:rsidRPr="00F35DD1">
        <w:rPr>
          <w:lang w:val="en-GB"/>
        </w:rPr>
        <w:t xml:space="preserve"> and Mrs Radmila </w:t>
      </w:r>
      <w:proofErr w:type="spellStart"/>
      <w:r w:rsidR="00496F5D" w:rsidRPr="00F35DD1">
        <w:rPr>
          <w:lang w:val="en-GB"/>
        </w:rPr>
        <w:t>Petrović</w:t>
      </w:r>
      <w:proofErr w:type="spellEnd"/>
      <w:r w:rsidRPr="00EE6125">
        <w:rPr>
          <w:color w:val="000000"/>
        </w:rPr>
        <w:t>,</w:t>
      </w:r>
      <w:r w:rsidRPr="00EE6125">
        <w:rPr>
          <w:color w:val="000000"/>
          <w:lang w:val="en-GB"/>
        </w:rPr>
        <w:t xml:space="preserve"> particularly because of UNMIK’s fai</w:t>
      </w:r>
      <w:r w:rsidR="00772F0A">
        <w:rPr>
          <w:color w:val="000000"/>
          <w:lang w:val="en-GB"/>
        </w:rPr>
        <w:t>lure to properly investigate their</w:t>
      </w:r>
      <w:r w:rsidRPr="00EE6125">
        <w:rPr>
          <w:color w:val="000000"/>
          <w:lang w:val="en-GB"/>
        </w:rPr>
        <w:t xml:space="preserve"> disappearance, caused mental suffering to </w:t>
      </w:r>
      <w:r w:rsidR="00496F5D" w:rsidRPr="00EE6125">
        <w:rPr>
          <w:color w:val="000000"/>
          <w:lang w:val="en-GB"/>
        </w:rPr>
        <w:t>them</w:t>
      </w:r>
      <w:r w:rsidRPr="00EE6125">
        <w:rPr>
          <w:color w:val="000000"/>
          <w:lang w:val="en-GB"/>
        </w:rPr>
        <w:t xml:space="preserve"> and </w:t>
      </w:r>
      <w:r w:rsidR="00496F5D" w:rsidRPr="00EE6125">
        <w:rPr>
          <w:color w:val="000000"/>
          <w:lang w:val="en-GB"/>
        </w:rPr>
        <w:t>their</w:t>
      </w:r>
      <w:r w:rsidRPr="00EE6125">
        <w:rPr>
          <w:color w:val="000000"/>
          <w:lang w:val="en-GB"/>
        </w:rPr>
        <w:t xml:space="preserve"> famil</w:t>
      </w:r>
      <w:r w:rsidR="00496F5D" w:rsidRPr="00EE6125">
        <w:rPr>
          <w:color w:val="000000"/>
          <w:lang w:val="en-GB"/>
        </w:rPr>
        <w:t>ies</w:t>
      </w:r>
      <w:r w:rsidRPr="00EE6125">
        <w:rPr>
          <w:color w:val="000000"/>
          <w:lang w:val="en-GB"/>
        </w:rPr>
        <w:t>.</w:t>
      </w:r>
    </w:p>
    <w:p w:rsidR="00351E98" w:rsidRPr="00EE6125" w:rsidRDefault="00351E98" w:rsidP="00351E98">
      <w:pPr>
        <w:pStyle w:val="ColorfulList-Accent11"/>
        <w:tabs>
          <w:tab w:val="num" w:pos="450"/>
        </w:tabs>
        <w:autoSpaceDE w:val="0"/>
        <w:ind w:left="450" w:hanging="450"/>
        <w:jc w:val="both"/>
        <w:rPr>
          <w:color w:val="000000"/>
          <w:lang w:val="en-GB"/>
        </w:rPr>
      </w:pPr>
    </w:p>
    <w:p w:rsidR="00496F5D" w:rsidRPr="00EE6125" w:rsidRDefault="00351E98" w:rsidP="00496F5D">
      <w:pPr>
        <w:numPr>
          <w:ilvl w:val="0"/>
          <w:numId w:val="2"/>
        </w:numPr>
        <w:tabs>
          <w:tab w:val="num" w:pos="450"/>
          <w:tab w:val="left" w:pos="709"/>
        </w:tabs>
        <w:suppressAutoHyphens/>
        <w:autoSpaceDE w:val="0"/>
        <w:ind w:left="450" w:hanging="450"/>
        <w:jc w:val="both"/>
        <w:rPr>
          <w:color w:val="000000"/>
          <w:lang w:val="en-GB"/>
        </w:rPr>
      </w:pPr>
      <w:bookmarkStart w:id="106" w:name="_Ref374625321"/>
      <w:r w:rsidRPr="00EE6125">
        <w:rPr>
          <w:color w:val="000000"/>
          <w:lang w:val="en-GB"/>
        </w:rPr>
        <w:t xml:space="preserve">Commenting on </w:t>
      </w:r>
      <w:r w:rsidR="00F6130F" w:rsidRPr="00EE6125">
        <w:rPr>
          <w:color w:val="000000"/>
          <w:lang w:val="en-GB"/>
        </w:rPr>
        <w:t xml:space="preserve">all the </w:t>
      </w:r>
      <w:r w:rsidR="00496F5D" w:rsidRPr="00EE6125">
        <w:rPr>
          <w:color w:val="000000"/>
          <w:lang w:val="en-GB"/>
        </w:rPr>
        <w:t xml:space="preserve">complaints in this </w:t>
      </w:r>
      <w:r w:rsidRPr="00EE6125">
        <w:rPr>
          <w:color w:val="000000"/>
          <w:lang w:val="en-GB"/>
        </w:rPr>
        <w:t>part, the SRSG rejects the allegations.</w:t>
      </w:r>
      <w:r w:rsidR="00CA5624" w:rsidRPr="00EE6125">
        <w:rPr>
          <w:color w:val="000000"/>
          <w:lang w:val="en-GB"/>
        </w:rPr>
        <w:t xml:space="preserve"> </w:t>
      </w:r>
      <w:r w:rsidRPr="00EE6125">
        <w:rPr>
          <w:color w:val="000000"/>
          <w:lang w:val="en-GB"/>
        </w:rPr>
        <w:t xml:space="preserve">He </w:t>
      </w:r>
      <w:bookmarkEnd w:id="106"/>
      <w:r w:rsidRPr="00EE6125">
        <w:rPr>
          <w:color w:val="000000"/>
          <w:lang w:val="en-GB"/>
        </w:rPr>
        <w:t>stresses that, while the complainant</w:t>
      </w:r>
      <w:r w:rsidR="00496F5D" w:rsidRPr="00EE6125">
        <w:rPr>
          <w:color w:val="000000"/>
          <w:lang w:val="en-GB"/>
        </w:rPr>
        <w:t>s</w:t>
      </w:r>
      <w:r w:rsidRPr="00EE6125">
        <w:rPr>
          <w:color w:val="000000"/>
          <w:lang w:val="en-GB"/>
        </w:rPr>
        <w:t xml:space="preserve"> impl</w:t>
      </w:r>
      <w:r w:rsidR="00496F5D" w:rsidRPr="00EE6125">
        <w:rPr>
          <w:color w:val="000000"/>
          <w:lang w:val="en-GB"/>
        </w:rPr>
        <w:t>y</w:t>
      </w:r>
      <w:r w:rsidRPr="00EE6125">
        <w:rPr>
          <w:color w:val="000000"/>
          <w:lang w:val="en-GB"/>
        </w:rPr>
        <w:t xml:space="preserve"> that </w:t>
      </w:r>
      <w:r w:rsidR="00496F5D" w:rsidRPr="00EE6125">
        <w:rPr>
          <w:color w:val="000000"/>
          <w:lang w:val="en-GB"/>
        </w:rPr>
        <w:t>they</w:t>
      </w:r>
      <w:r w:rsidRPr="00EE6125">
        <w:rPr>
          <w:color w:val="000000"/>
          <w:lang w:val="en-GB"/>
        </w:rPr>
        <w:t xml:space="preserve"> had suffered mental pain and anguish, there is no express allegation that this mental pain and anguish was a result of UNMIK’s response to </w:t>
      </w:r>
      <w:r w:rsidR="00496F5D" w:rsidRPr="00EE6125">
        <w:rPr>
          <w:color w:val="000000"/>
          <w:lang w:val="en-GB"/>
        </w:rPr>
        <w:t xml:space="preserve">the disappearance of their relatives. In particular, the complainants had made no </w:t>
      </w:r>
      <w:r w:rsidR="00496F5D" w:rsidRPr="00496F5D">
        <w:rPr>
          <w:lang w:val="en-GB"/>
        </w:rPr>
        <w:t>assertions of any bad faith on the part of UNMIK personnel involved with the matter, while there is no evidence of any disregard for the seriousness of the matter or the emotions of the complainants and their families emanating from the disappearances.</w:t>
      </w:r>
      <w:r w:rsidR="00496F5D" w:rsidRPr="00EE6125">
        <w:rPr>
          <w:color w:val="000000"/>
          <w:lang w:val="en-GB"/>
        </w:rPr>
        <w:t xml:space="preserve"> </w:t>
      </w:r>
    </w:p>
    <w:p w:rsidR="00F6130F" w:rsidRPr="00EE6125" w:rsidRDefault="00F6130F" w:rsidP="00F6130F">
      <w:pPr>
        <w:pStyle w:val="ColorfulList-Accent11"/>
        <w:rPr>
          <w:color w:val="000000"/>
          <w:lang w:val="en-GB"/>
        </w:rPr>
      </w:pPr>
    </w:p>
    <w:p w:rsidR="00F6130F" w:rsidRPr="00EE6125" w:rsidRDefault="00F6130F" w:rsidP="00351E98">
      <w:pPr>
        <w:numPr>
          <w:ilvl w:val="0"/>
          <w:numId w:val="2"/>
        </w:numPr>
        <w:tabs>
          <w:tab w:val="num" w:pos="450"/>
          <w:tab w:val="left" w:pos="709"/>
        </w:tabs>
        <w:suppressAutoHyphens/>
        <w:autoSpaceDE w:val="0"/>
        <w:ind w:left="450" w:hanging="450"/>
        <w:jc w:val="both"/>
        <w:rPr>
          <w:color w:val="000000"/>
          <w:lang w:val="en-GB"/>
        </w:rPr>
      </w:pPr>
      <w:bookmarkStart w:id="107" w:name="_Ref404769670"/>
      <w:r w:rsidRPr="00EE6125">
        <w:rPr>
          <w:color w:val="000000"/>
          <w:lang w:val="en-GB"/>
        </w:rPr>
        <w:t xml:space="preserve">In addition, commenting on </w:t>
      </w:r>
      <w:r w:rsidR="008103F1">
        <w:rPr>
          <w:color w:val="000000"/>
          <w:lang w:val="en-GB"/>
        </w:rPr>
        <w:t xml:space="preserve">the attempts of the first applicant, </w:t>
      </w:r>
      <w:r w:rsidRPr="00EE6125">
        <w:rPr>
          <w:color w:val="000000"/>
          <w:lang w:val="en-GB"/>
        </w:rPr>
        <w:t xml:space="preserve">Mrs </w:t>
      </w:r>
      <w:r w:rsidR="00CA5624" w:rsidRPr="00EE6125">
        <w:rPr>
          <w:color w:val="000000"/>
          <w:lang w:val="en-GB"/>
        </w:rPr>
        <w:t xml:space="preserve">Lela </w:t>
      </w:r>
      <w:proofErr w:type="spellStart"/>
      <w:r w:rsidRPr="00EE6125">
        <w:rPr>
          <w:color w:val="000000"/>
          <w:lang w:val="en-GB"/>
        </w:rPr>
        <w:t>Nikolić</w:t>
      </w:r>
      <w:proofErr w:type="spellEnd"/>
      <w:r w:rsidR="008103F1">
        <w:rPr>
          <w:color w:val="000000"/>
          <w:lang w:val="en-GB"/>
        </w:rPr>
        <w:t>,</w:t>
      </w:r>
      <w:r w:rsidRPr="00EE6125">
        <w:rPr>
          <w:color w:val="000000"/>
          <w:lang w:val="en-GB"/>
        </w:rPr>
        <w:t xml:space="preserve"> to obtain information about her abducted close family members, the SRSG states that the file does not show that “UNMIK Police were in possession of the </w:t>
      </w:r>
      <w:r w:rsidR="008103F1">
        <w:rPr>
          <w:color w:val="000000"/>
          <w:lang w:val="en-GB"/>
        </w:rPr>
        <w:t>c</w:t>
      </w:r>
      <w:r w:rsidR="008103F1" w:rsidRPr="00EE6125">
        <w:rPr>
          <w:color w:val="000000"/>
          <w:lang w:val="en-GB"/>
        </w:rPr>
        <w:t>omplainant</w:t>
      </w:r>
      <w:r w:rsidR="008103F1">
        <w:rPr>
          <w:color w:val="000000"/>
          <w:lang w:val="en-GB"/>
        </w:rPr>
        <w:t>’</w:t>
      </w:r>
      <w:r w:rsidR="008103F1" w:rsidRPr="00EE6125">
        <w:rPr>
          <w:color w:val="000000"/>
          <w:lang w:val="en-GB"/>
        </w:rPr>
        <w:t xml:space="preserve">s </w:t>
      </w:r>
      <w:r w:rsidRPr="00EE6125">
        <w:rPr>
          <w:color w:val="000000"/>
          <w:lang w:val="en-GB"/>
        </w:rPr>
        <w:t>contact details and that they would have been able to contact her in connection with the investigations.”</w:t>
      </w:r>
      <w:r w:rsidR="00FA68AF" w:rsidRPr="00EE6125">
        <w:rPr>
          <w:color w:val="000000"/>
          <w:lang w:val="en-GB"/>
        </w:rPr>
        <w:t xml:space="preserve"> However, the efforts were made to contact the ne</w:t>
      </w:r>
      <w:r w:rsidR="009B57F6" w:rsidRPr="00EE6125">
        <w:rPr>
          <w:color w:val="000000"/>
          <w:lang w:val="en-GB"/>
        </w:rPr>
        <w:t>x</w:t>
      </w:r>
      <w:r w:rsidR="00FA68AF" w:rsidRPr="00EE6125">
        <w:rPr>
          <w:color w:val="000000"/>
          <w:lang w:val="en-GB"/>
        </w:rPr>
        <w:t xml:space="preserve">t of kin whose contact details were available and they were unwilling to cooperate with the investigations. </w:t>
      </w:r>
      <w:bookmarkEnd w:id="107"/>
    </w:p>
    <w:p w:rsidR="00CA5624" w:rsidRPr="00EE6125" w:rsidRDefault="00CA5624" w:rsidP="00CA5624">
      <w:pPr>
        <w:pStyle w:val="ColorfulList-Accent11"/>
        <w:rPr>
          <w:color w:val="000000"/>
          <w:lang w:val="en-GB"/>
        </w:rPr>
      </w:pPr>
    </w:p>
    <w:p w:rsidR="00CA5624" w:rsidRPr="00EE6125" w:rsidRDefault="00CA5624" w:rsidP="00351E98">
      <w:pPr>
        <w:numPr>
          <w:ilvl w:val="0"/>
          <w:numId w:val="2"/>
        </w:numPr>
        <w:tabs>
          <w:tab w:val="num" w:pos="450"/>
          <w:tab w:val="left" w:pos="709"/>
        </w:tabs>
        <w:suppressAutoHyphens/>
        <w:autoSpaceDE w:val="0"/>
        <w:ind w:left="450" w:hanging="450"/>
        <w:jc w:val="both"/>
        <w:rPr>
          <w:color w:val="000000"/>
          <w:lang w:val="en-GB"/>
        </w:rPr>
      </w:pPr>
      <w:bookmarkStart w:id="108" w:name="_Ref404769672"/>
      <w:r w:rsidRPr="00EE6125">
        <w:rPr>
          <w:color w:val="000000"/>
          <w:lang w:val="en-GB"/>
        </w:rPr>
        <w:t xml:space="preserve">With regard to the complaint of </w:t>
      </w:r>
      <w:r w:rsidR="008103F1">
        <w:rPr>
          <w:color w:val="000000"/>
          <w:lang w:val="en-GB"/>
        </w:rPr>
        <w:t xml:space="preserve">the second complainant, </w:t>
      </w:r>
      <w:r w:rsidRPr="00EE6125">
        <w:rPr>
          <w:color w:val="000000"/>
          <w:lang w:val="en-GB"/>
        </w:rPr>
        <w:t xml:space="preserve">Mrs </w:t>
      </w:r>
      <w:proofErr w:type="spellStart"/>
      <w:r w:rsidRPr="00EE6125">
        <w:rPr>
          <w:color w:val="000000"/>
          <w:lang w:val="en-GB"/>
        </w:rPr>
        <w:t>Rosanda</w:t>
      </w:r>
      <w:proofErr w:type="spellEnd"/>
      <w:r w:rsidRPr="00EE6125">
        <w:rPr>
          <w:color w:val="000000"/>
          <w:lang w:val="en-GB"/>
        </w:rPr>
        <w:t xml:space="preserve"> </w:t>
      </w:r>
      <w:proofErr w:type="spellStart"/>
      <w:r w:rsidRPr="00EE6125">
        <w:rPr>
          <w:color w:val="000000"/>
          <w:lang w:val="en-GB"/>
        </w:rPr>
        <w:t>Kabaš</w:t>
      </w:r>
      <w:proofErr w:type="spellEnd"/>
      <w:r w:rsidRPr="00EE6125">
        <w:rPr>
          <w:color w:val="000000"/>
          <w:lang w:val="en-GB"/>
        </w:rPr>
        <w:t>, the SRSG adds “It is not clear from the information the complainant has provided to what extent she had addresse</w:t>
      </w:r>
      <w:r w:rsidR="00D71A3A" w:rsidRPr="00EE6125">
        <w:rPr>
          <w:color w:val="000000"/>
          <w:lang w:val="en-GB"/>
        </w:rPr>
        <w:t>d</w:t>
      </w:r>
      <w:r w:rsidRPr="00EE6125">
        <w:rPr>
          <w:color w:val="000000"/>
          <w:lang w:val="en-GB"/>
        </w:rPr>
        <w:t xml:space="preserve"> the authorities for information about the disappearance of her brother.”</w:t>
      </w:r>
      <w:bookmarkEnd w:id="108"/>
    </w:p>
    <w:p w:rsidR="00CA5624" w:rsidRPr="00EE6125" w:rsidRDefault="00CA5624" w:rsidP="00CA5624">
      <w:pPr>
        <w:pStyle w:val="ColorfulList-Accent11"/>
        <w:rPr>
          <w:color w:val="000000"/>
          <w:lang w:val="en-GB"/>
        </w:rPr>
      </w:pPr>
    </w:p>
    <w:p w:rsidR="00CA5624" w:rsidRPr="00EE6125" w:rsidRDefault="00CA5624"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On the complaint of </w:t>
      </w:r>
      <w:r w:rsidR="008103F1">
        <w:rPr>
          <w:color w:val="000000"/>
          <w:lang w:val="en-GB"/>
        </w:rPr>
        <w:t xml:space="preserve">the third complainant, </w:t>
      </w:r>
      <w:r w:rsidRPr="00EE6125">
        <w:rPr>
          <w:color w:val="000000"/>
          <w:lang w:val="en-GB"/>
        </w:rPr>
        <w:t xml:space="preserve">Mr Milan </w:t>
      </w:r>
      <w:proofErr w:type="spellStart"/>
      <w:r w:rsidRPr="00EE6125">
        <w:rPr>
          <w:color w:val="000000"/>
          <w:lang w:val="en-GB"/>
        </w:rPr>
        <w:t>Petrović</w:t>
      </w:r>
      <w:proofErr w:type="spellEnd"/>
      <w:r w:rsidRPr="00EE6125">
        <w:rPr>
          <w:color w:val="000000"/>
          <w:lang w:val="en-GB"/>
        </w:rPr>
        <w:t>, the SRSG stress</w:t>
      </w:r>
      <w:r w:rsidR="009B57F6" w:rsidRPr="00EE6125">
        <w:rPr>
          <w:color w:val="000000"/>
          <w:lang w:val="en-GB"/>
        </w:rPr>
        <w:t>es</w:t>
      </w:r>
      <w:r w:rsidRPr="00EE6125">
        <w:rPr>
          <w:color w:val="000000"/>
          <w:lang w:val="en-GB"/>
        </w:rPr>
        <w:t xml:space="preserve"> that he “did not witness the disappearance, neither was he in close proximity to the location at the time it occurred.”</w:t>
      </w:r>
    </w:p>
    <w:p w:rsidR="00F238EF" w:rsidRPr="00EE6125" w:rsidRDefault="00F238EF" w:rsidP="00F238EF">
      <w:pPr>
        <w:tabs>
          <w:tab w:val="left" w:pos="709"/>
        </w:tabs>
        <w:suppressAutoHyphens/>
        <w:autoSpaceDE w:val="0"/>
        <w:ind w:left="450"/>
        <w:jc w:val="both"/>
        <w:rPr>
          <w:color w:val="000000"/>
          <w:lang w:val="en-GB"/>
        </w:rPr>
      </w:pPr>
    </w:p>
    <w:p w:rsidR="00F238EF" w:rsidRPr="00EE6125" w:rsidRDefault="00F238EF" w:rsidP="00F238EF">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SRSG recalls in this respect the position of the European Court that suffering of the family </w:t>
      </w:r>
      <w:r w:rsidRPr="00C5394C">
        <w:rPr>
          <w:color w:val="000000"/>
          <w:lang w:val="en-GB"/>
        </w:rPr>
        <w:t xml:space="preserve">member must have a character “distinct from the emotional distress which may be regarded as inevitably caused to relatives of a victim of a serious human rights violation” (see § </w:t>
      </w:r>
      <w:r w:rsidR="0037719A">
        <w:fldChar w:fldCharType="begin"/>
      </w:r>
      <w:r w:rsidR="0037719A">
        <w:instrText xml:space="preserve"> REF _Ref374623221 \r \h  \* MERGEFORMAT </w:instrText>
      </w:r>
      <w:r w:rsidR="0037719A">
        <w:fldChar w:fldCharType="separate"/>
      </w:r>
      <w:r w:rsidR="00A35759" w:rsidRPr="00A35759">
        <w:rPr>
          <w:color w:val="000000"/>
          <w:lang w:val="en-GB"/>
        </w:rPr>
        <w:t>236</w:t>
      </w:r>
      <w:r w:rsidR="0037719A">
        <w:fldChar w:fldCharType="end"/>
      </w:r>
      <w:r w:rsidRPr="00C5394C">
        <w:rPr>
          <w:color w:val="000000"/>
          <w:lang w:val="en-GB"/>
        </w:rPr>
        <w:t xml:space="preserve"> below). According to the SRSG, the understandable and apparent mental anguish and suffering of the complainants</w:t>
      </w:r>
      <w:r w:rsidRPr="00EE6125">
        <w:rPr>
          <w:color w:val="000000"/>
          <w:lang w:val="en-GB"/>
        </w:rPr>
        <w:t>, based on the disappearance of their close relatives, cannot be attributed to UNMIK, but rather a result of the inherent suffering caused by the disappearance of a close family member.</w:t>
      </w:r>
    </w:p>
    <w:p w:rsidR="00351E98" w:rsidRPr="00EE6125" w:rsidRDefault="00351E98" w:rsidP="00351E98">
      <w:pPr>
        <w:pStyle w:val="ColorfulList-Accent11"/>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Therefore, according to the SRSG, th</w:t>
      </w:r>
      <w:r w:rsidR="00F6130F" w:rsidRPr="00EE6125">
        <w:rPr>
          <w:color w:val="000000"/>
          <w:lang w:val="en-GB"/>
        </w:rPr>
        <w:t xml:space="preserve">ere is no violation of Article 3 of the ECHR </w:t>
      </w:r>
      <w:r w:rsidRPr="00EE6125">
        <w:rPr>
          <w:color w:val="000000"/>
          <w:lang w:val="en-GB"/>
        </w:rPr>
        <w:t xml:space="preserve">and thus </w:t>
      </w:r>
      <w:r w:rsidR="00F6130F" w:rsidRPr="00EE6125">
        <w:rPr>
          <w:color w:val="000000"/>
          <w:lang w:val="en-GB"/>
        </w:rPr>
        <w:t xml:space="preserve">these allegations </w:t>
      </w:r>
      <w:r w:rsidRPr="00EE6125">
        <w:rPr>
          <w:color w:val="000000"/>
          <w:lang w:val="en-GB"/>
        </w:rPr>
        <w:t>should be rejected by the Panel.</w:t>
      </w:r>
    </w:p>
    <w:p w:rsidR="00351E98" w:rsidRPr="00EE6125" w:rsidRDefault="00351E98" w:rsidP="00351E98">
      <w:pPr>
        <w:pStyle w:val="ListParagraph1"/>
        <w:ind w:left="0"/>
        <w:jc w:val="both"/>
        <w:rPr>
          <w:b/>
          <w:color w:val="000000"/>
        </w:rPr>
      </w:pPr>
    </w:p>
    <w:p w:rsidR="00351E98" w:rsidRPr="00EE6125" w:rsidRDefault="00351E98" w:rsidP="00351E98">
      <w:pPr>
        <w:pStyle w:val="ListParagraph1"/>
        <w:numPr>
          <w:ilvl w:val="0"/>
          <w:numId w:val="12"/>
        </w:numPr>
        <w:jc w:val="both"/>
        <w:rPr>
          <w:b/>
          <w:color w:val="000000"/>
        </w:rPr>
      </w:pPr>
      <w:r w:rsidRPr="00EE6125">
        <w:rPr>
          <w:b/>
          <w:color w:val="000000"/>
        </w:rPr>
        <w:t xml:space="preserve">The Panel’s assessment </w:t>
      </w:r>
    </w:p>
    <w:p w:rsidR="00351E98" w:rsidRPr="00EE6125" w:rsidRDefault="00351E98" w:rsidP="00351E98">
      <w:pPr>
        <w:pStyle w:val="ListParagraph1"/>
        <w:ind w:left="0"/>
        <w:jc w:val="both"/>
        <w:rPr>
          <w:b/>
          <w:color w:val="000000"/>
        </w:rPr>
      </w:pPr>
    </w:p>
    <w:p w:rsidR="00351E98" w:rsidRPr="00EE6125" w:rsidRDefault="00351E98" w:rsidP="00351E98">
      <w:pPr>
        <w:pStyle w:val="ListParagraph1"/>
        <w:numPr>
          <w:ilvl w:val="0"/>
          <w:numId w:val="11"/>
        </w:numPr>
        <w:ind w:left="360"/>
        <w:jc w:val="both"/>
        <w:rPr>
          <w:b/>
          <w:color w:val="000000"/>
        </w:rPr>
      </w:pPr>
      <w:r w:rsidRPr="00EE6125">
        <w:rPr>
          <w:i/>
          <w:color w:val="000000"/>
          <w:lang w:eastAsia="en-US"/>
        </w:rPr>
        <w:t xml:space="preserve"> General principles concerning the obligation under Article 3</w:t>
      </w:r>
    </w:p>
    <w:p w:rsidR="00351E98" w:rsidRPr="00EE6125" w:rsidRDefault="00351E98" w:rsidP="00351E98">
      <w:pPr>
        <w:autoSpaceDE w:val="0"/>
        <w:jc w:val="both"/>
        <w:rPr>
          <w:color w:val="000000"/>
          <w:lang w:val="en-GB" w:eastAsia="ar-SA"/>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bookmarkStart w:id="109" w:name="_Ref401074681"/>
      <w:r w:rsidRPr="00EE6125">
        <w:rPr>
          <w:color w:val="000000"/>
          <w:lang w:val="en-GB"/>
        </w:rPr>
        <w:t xml:space="preserve">Like Article 2, Article 3 of the ECHR enshrines one of the most fundamental values in democratic societies (ECtHR, </w:t>
      </w:r>
      <w:r w:rsidRPr="00EE6125">
        <w:rPr>
          <w:i/>
          <w:color w:val="000000"/>
          <w:lang w:val="en-GB"/>
        </w:rPr>
        <w:t>Talat Tepe v. Turkey</w:t>
      </w:r>
      <w:r w:rsidRPr="00EE6125">
        <w:rPr>
          <w:color w:val="000000"/>
          <w:lang w:val="en-GB"/>
        </w:rPr>
        <w:t xml:space="preserve">, no. 31247/96, 21 December 2004, § 47; </w:t>
      </w:r>
      <w:r w:rsidRPr="00EE6125">
        <w:rPr>
          <w:color w:val="000000"/>
          <w:lang w:val="en-GB"/>
        </w:rPr>
        <w:lastRenderedPageBreak/>
        <w:t xml:space="preserve">ECtHR [GC], </w:t>
      </w:r>
      <w:r w:rsidRPr="00EE6125">
        <w:rPr>
          <w:i/>
          <w:color w:val="000000"/>
          <w:lang w:val="en-GB"/>
        </w:rPr>
        <w:t>Ilaşcu and Others v. Moldova and Russia</w:t>
      </w:r>
      <w:r w:rsidRPr="00EE6125">
        <w:rPr>
          <w:color w:val="000000"/>
          <w:lang w:val="en-GB"/>
        </w:rPr>
        <w:t xml:space="preserve">, no. 48787/99, judgment of 8 July 2004, </w:t>
      </w:r>
      <w:r w:rsidRPr="00EE6125">
        <w:rPr>
          <w:i/>
          <w:color w:val="000000"/>
          <w:lang w:val="en-GB"/>
        </w:rPr>
        <w:t>ECHR</w:t>
      </w:r>
      <w:r w:rsidRPr="00EE6125">
        <w:rPr>
          <w:color w:val="000000"/>
          <w:lang w:val="en-GB"/>
        </w:rPr>
        <w:t>, 2004-VII, § 424). As confirmed by the absolute nature conferred on it by Article 15 § 2 of the ECHR, the prohibition of torture and inhuman and degrading treatment still applies even in most difficult circumstances.</w:t>
      </w:r>
      <w:bookmarkEnd w:id="109"/>
    </w:p>
    <w:p w:rsidR="00351E98" w:rsidRPr="00EE6125" w:rsidRDefault="00351E98" w:rsidP="00351E98">
      <w:pPr>
        <w:tabs>
          <w:tab w:val="num" w:pos="450"/>
        </w:tabs>
        <w:suppressAutoHyphens/>
        <w:autoSpaceDE w:val="0"/>
        <w:ind w:left="450" w:hanging="45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EE6125">
        <w:rPr>
          <w:i/>
          <w:color w:val="000000"/>
          <w:lang w:val="en-GB"/>
        </w:rPr>
        <w:t>Velásquez-Rodríguez v. Honduras</w:t>
      </w:r>
      <w:r w:rsidRPr="00EE6125">
        <w:rPr>
          <w:color w:val="000000"/>
          <w:lang w:val="en-GB"/>
        </w:rPr>
        <w:t xml:space="preserve">, cited in § </w:t>
      </w:r>
      <w:r w:rsidR="0037719A">
        <w:fldChar w:fldCharType="begin"/>
      </w:r>
      <w:r w:rsidR="0037719A">
        <w:instrText xml:space="preserve"> REF _Ref348512105 \r \h  \* MERGEFORMAT </w:instrText>
      </w:r>
      <w:r w:rsidR="0037719A">
        <w:fldChar w:fldCharType="separate"/>
      </w:r>
      <w:r w:rsidR="00A35759" w:rsidRPr="00A35759">
        <w:rPr>
          <w:color w:val="000000"/>
          <w:lang w:val="en-GB"/>
        </w:rPr>
        <w:t>155</w:t>
      </w:r>
      <w:r w:rsidR="0037719A">
        <w:fldChar w:fldCharType="end"/>
      </w:r>
      <w:r w:rsidRPr="00EE6125">
        <w:rPr>
          <w:color w:val="000000"/>
          <w:lang w:val="en-GB"/>
        </w:rPr>
        <w:t xml:space="preserve"> above, at § 150). </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HRC has also recognised disappearances as a serious violation of human rights. In its decision of 21 July 1983, in the case </w:t>
      </w:r>
      <w:r w:rsidRPr="00EE6125">
        <w:rPr>
          <w:i/>
          <w:color w:val="000000"/>
          <w:lang w:val="en-GB"/>
        </w:rPr>
        <w:t>Quinteros v. Urugay</w:t>
      </w:r>
      <w:r w:rsidRPr="00EE6125">
        <w:rPr>
          <w:color w:val="000000"/>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EE6125">
        <w:rPr>
          <w:i/>
          <w:color w:val="000000"/>
          <w:lang w:val="en-GB"/>
        </w:rPr>
        <w:t>Mojica v. Dominican Republic</w:t>
      </w:r>
      <w:r w:rsidRPr="00EE6125">
        <w:rPr>
          <w:color w:val="000000"/>
          <w:lang w:val="en-GB"/>
        </w:rPr>
        <w:t xml:space="preserve">, the HRC has deemed that “the disappearance of persons is inseparably linked to treatment that amounts to a violation of article 7 </w:t>
      </w:r>
      <w:r w:rsidRPr="00EE6125">
        <w:rPr>
          <w:color w:val="000000"/>
          <w:lang w:val="en-GB"/>
        </w:rPr>
        <w:sym w:font="Symbol" w:char="F05B"/>
      </w:r>
      <w:r w:rsidRPr="00EE6125">
        <w:rPr>
          <w:color w:val="000000"/>
          <w:lang w:val="en-GB"/>
        </w:rPr>
        <w:t>of the Covenant</w:t>
      </w:r>
      <w:r w:rsidRPr="00EE6125">
        <w:rPr>
          <w:color w:val="000000"/>
          <w:lang w:val="en-GB"/>
        </w:rPr>
        <w:sym w:font="Symbol" w:char="F05D"/>
      </w:r>
      <w:r w:rsidRPr="00EE6125">
        <w:rPr>
          <w:color w:val="000000"/>
          <w:lang w:val="en-GB"/>
        </w:rPr>
        <w:t xml:space="preserve">”, also prohibiting torture, inhumane or degrading treatment and punishment (see HRC, </w:t>
      </w:r>
      <w:r w:rsidRPr="00EE6125">
        <w:rPr>
          <w:bCs/>
          <w:color w:val="000000"/>
          <w:lang w:val="en-GB"/>
        </w:rPr>
        <w:t xml:space="preserve">Communication No. 449/1991, U.N. Doc. CCPR/C/51/D/449/1991 (1994), </w:t>
      </w:r>
      <w:r w:rsidRPr="00EE6125">
        <w:rPr>
          <w:color w:val="000000"/>
          <w:lang w:val="en-GB"/>
        </w:rPr>
        <w:t>§ 5.7).</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bookmarkStart w:id="110" w:name="_Ref374623221"/>
      <w:r w:rsidRPr="00EE6125">
        <w:rPr>
          <w:color w:val="000000"/>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EE6125">
        <w:rPr>
          <w:color w:val="000000"/>
          <w:lang w:val="en-GB"/>
        </w:rPr>
        <w:sym w:font="Symbol" w:char="F05B"/>
      </w:r>
      <w:r w:rsidRPr="00EE6125">
        <w:rPr>
          <w:color w:val="000000"/>
          <w:lang w:val="en-GB"/>
        </w:rPr>
        <w:t>family member</w:t>
      </w:r>
      <w:r w:rsidRPr="00EE6125">
        <w:rPr>
          <w:color w:val="000000"/>
          <w:lang w:val="en-GB"/>
        </w:rPr>
        <w:sym w:font="Symbol" w:char="F05D"/>
      </w:r>
      <w:r w:rsidRPr="00EE6125">
        <w:rPr>
          <w:color w:val="000000"/>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EE6125">
        <w:rPr>
          <w:i/>
          <w:color w:val="000000"/>
          <w:lang w:val="en-GB"/>
        </w:rPr>
        <w:t>Basayeva and Others v. Russia</w:t>
      </w:r>
      <w:r w:rsidRPr="00EE6125">
        <w:rPr>
          <w:color w:val="000000"/>
          <w:lang w:val="en-GB"/>
        </w:rPr>
        <w:t xml:space="preserve">, nos. 15441/05 and 20731/04, judgment of 28 May 2009, § 159; ECtHR, </w:t>
      </w:r>
      <w:r w:rsidRPr="00EE6125">
        <w:rPr>
          <w:i/>
          <w:color w:val="000000"/>
          <w:lang w:val="en-GB"/>
        </w:rPr>
        <w:t>Er and Others v. Turkey</w:t>
      </w:r>
      <w:r w:rsidRPr="00EE6125">
        <w:rPr>
          <w:color w:val="000000"/>
          <w:lang w:val="en-GB"/>
        </w:rPr>
        <w:t xml:space="preserve">, cited in § </w:t>
      </w:r>
      <w:r w:rsidR="0037719A">
        <w:fldChar w:fldCharType="begin"/>
      </w:r>
      <w:r w:rsidR="0037719A">
        <w:instrText xml:space="preserve"> REF _Ref374623030 \r \h  \* MERGEFORMAT </w:instrText>
      </w:r>
      <w:r w:rsidR="0037719A">
        <w:fldChar w:fldCharType="separate"/>
      </w:r>
      <w:r w:rsidR="00A35759" w:rsidRPr="00A35759">
        <w:rPr>
          <w:color w:val="000000"/>
          <w:lang w:val="en-GB"/>
        </w:rPr>
        <w:t>223</w:t>
      </w:r>
      <w:r w:rsidR="0037719A">
        <w:fldChar w:fldCharType="end"/>
      </w:r>
      <w:r w:rsidRPr="00EE6125">
        <w:rPr>
          <w:color w:val="000000"/>
          <w:lang w:val="en-GB"/>
        </w:rPr>
        <w:t xml:space="preserve"> above, at § 94).</w:t>
      </w:r>
      <w:bookmarkEnd w:id="110"/>
    </w:p>
    <w:p w:rsidR="00351E98" w:rsidRPr="00EE6125" w:rsidRDefault="00351E98" w:rsidP="00351E98">
      <w:pPr>
        <w:tabs>
          <w:tab w:val="num" w:pos="450"/>
        </w:tabs>
        <w:suppressAutoHyphens/>
        <w:autoSpaceDE w:val="0"/>
        <w:ind w:left="450" w:hanging="45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w:t>
      </w:r>
      <w:r w:rsidRPr="00EE6125">
        <w:rPr>
          <w:color w:val="000000"/>
          <w:lang w:val="en-GB"/>
        </w:rPr>
        <w:lastRenderedPageBreak/>
        <w:t xml:space="preserve">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EE6125">
        <w:rPr>
          <w:i/>
          <w:color w:val="000000"/>
          <w:lang w:val="en-GB"/>
        </w:rPr>
        <w:t>Er and Others v. Turkey,</w:t>
      </w:r>
      <w:r w:rsidRPr="00EE6125">
        <w:rPr>
          <w:color w:val="000000"/>
          <w:lang w:val="en-GB"/>
        </w:rPr>
        <w:t xml:space="preserve"> cited above, § 96; ECtHR, </w:t>
      </w:r>
      <w:r w:rsidRPr="00EE6125">
        <w:rPr>
          <w:i/>
          <w:color w:val="000000"/>
          <w:lang w:val="en-GB"/>
        </w:rPr>
        <w:t>Osmanoğlu v. Turkey,</w:t>
      </w:r>
      <w:r w:rsidRPr="00EE6125">
        <w:rPr>
          <w:color w:val="000000"/>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EE6125">
        <w:rPr>
          <w:i/>
          <w:color w:val="000000"/>
          <w:lang w:val="en-GB"/>
        </w:rPr>
        <w:t>Salakhov and Islyamova v. Ukraine,</w:t>
      </w:r>
      <w:r w:rsidRPr="00EE6125">
        <w:rPr>
          <w:color w:val="000000"/>
          <w:lang w:val="en-GB"/>
        </w:rPr>
        <w:t xml:space="preserve"> no. 28005/08, judgment of 14 March 2013, § 201).</w:t>
      </w:r>
    </w:p>
    <w:p w:rsidR="00351E98" w:rsidRPr="00EE6125" w:rsidRDefault="00351E98" w:rsidP="00351E98">
      <w:pPr>
        <w:tabs>
          <w:tab w:val="num" w:pos="450"/>
        </w:tabs>
        <w:suppressAutoHyphens/>
        <w:autoSpaceDE w:val="0"/>
        <w:ind w:left="450" w:hanging="45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The HRC has also considered the issue and recognised family members of disappeared or missing persons as victims of a violation of Article 7 of the Covenant: parents (</w:t>
      </w:r>
      <w:r w:rsidRPr="00EE6125">
        <w:rPr>
          <w:i/>
          <w:color w:val="000000"/>
          <w:lang w:val="en-GB"/>
        </w:rPr>
        <w:t>Boucherf v. Algeria</w:t>
      </w:r>
      <w:r w:rsidRPr="00EE6125">
        <w:rPr>
          <w:color w:val="000000"/>
          <w:lang w:val="en-GB"/>
        </w:rPr>
        <w:t xml:space="preserve">, </w:t>
      </w:r>
      <w:r w:rsidRPr="00EE6125">
        <w:rPr>
          <w:bCs/>
          <w:color w:val="000000"/>
          <w:lang w:val="en-GB"/>
        </w:rPr>
        <w:t>Communication No. 1196/2003</w:t>
      </w:r>
      <w:r w:rsidRPr="00EE6125">
        <w:rPr>
          <w:color w:val="000000"/>
          <w:lang w:val="en-GB"/>
        </w:rPr>
        <w:t>, views of 30 March 2006, § 9.7, CCPR/C/86/D/1196/2003), children (</w:t>
      </w:r>
      <w:r w:rsidRPr="00EE6125">
        <w:rPr>
          <w:i/>
          <w:color w:val="000000"/>
          <w:lang w:val="en-GB"/>
        </w:rPr>
        <w:t>Zarzi v. Algeria</w:t>
      </w:r>
      <w:r w:rsidRPr="00EE6125">
        <w:rPr>
          <w:color w:val="000000"/>
          <w:lang w:val="en-GB"/>
        </w:rPr>
        <w:t xml:space="preserve">, </w:t>
      </w:r>
      <w:r w:rsidRPr="00EE6125">
        <w:rPr>
          <w:bCs/>
          <w:color w:val="000000"/>
          <w:lang w:val="en-GB"/>
        </w:rPr>
        <w:t>Communication No. 1780/2008</w:t>
      </w:r>
      <w:r w:rsidRPr="00EE6125">
        <w:rPr>
          <w:color w:val="000000"/>
          <w:lang w:val="en-GB"/>
        </w:rPr>
        <w:t xml:space="preserve">, views of 22 March 2011, § 7.6, </w:t>
      </w:r>
      <w:r w:rsidRPr="00EE6125">
        <w:rPr>
          <w:bCs/>
          <w:color w:val="000000"/>
          <w:lang w:val="en-GB"/>
        </w:rPr>
        <w:t>CCPR/C/101/D/1780/2008</w:t>
      </w:r>
      <w:r w:rsidRPr="00EE6125">
        <w:rPr>
          <w:color w:val="000000"/>
          <w:lang w:val="en-GB"/>
        </w:rPr>
        <w:t>), siblings (</w:t>
      </w:r>
      <w:r w:rsidRPr="00EE6125">
        <w:rPr>
          <w:i/>
          <w:color w:val="000000"/>
          <w:lang w:val="en-GB"/>
        </w:rPr>
        <w:t>El Abani v. Libyan Arab Jamahiriya,</w:t>
      </w:r>
      <w:r w:rsidRPr="00EE6125">
        <w:rPr>
          <w:bCs/>
          <w:color w:val="000000"/>
          <w:lang w:val="en-GB"/>
        </w:rPr>
        <w:t>Communication No. 1640/2007</w:t>
      </w:r>
      <w:r w:rsidRPr="00EE6125">
        <w:rPr>
          <w:color w:val="000000"/>
          <w:lang w:val="en-GB"/>
        </w:rPr>
        <w:t xml:space="preserve">, views of 26 July 2010, § 7.5, </w:t>
      </w:r>
      <w:r w:rsidRPr="00EE6125">
        <w:rPr>
          <w:bCs/>
          <w:color w:val="000000"/>
          <w:lang w:val="en-GB"/>
        </w:rPr>
        <w:t>CCPR/C/99/D/1640/2007</w:t>
      </w:r>
      <w:r w:rsidRPr="00EE6125">
        <w:rPr>
          <w:color w:val="000000"/>
          <w:lang w:val="en-GB"/>
        </w:rPr>
        <w:t>), spouses (</w:t>
      </w:r>
      <w:r w:rsidRPr="00EE6125">
        <w:rPr>
          <w:i/>
          <w:color w:val="000000"/>
          <w:lang w:val="en-GB"/>
        </w:rPr>
        <w:t>Bousroual v. Algeria</w:t>
      </w:r>
      <w:r w:rsidRPr="00EE6125">
        <w:rPr>
          <w:color w:val="000000"/>
          <w:lang w:val="en-GB"/>
        </w:rPr>
        <w:t xml:space="preserve">, </w:t>
      </w:r>
      <w:r w:rsidRPr="00EE6125">
        <w:rPr>
          <w:bCs/>
          <w:color w:val="000000"/>
          <w:lang w:val="en-GB"/>
        </w:rPr>
        <w:t>Communication No. 992/2001, views of</w:t>
      </w:r>
      <w:r w:rsidRPr="00EE6125">
        <w:rPr>
          <w:color w:val="000000"/>
          <w:lang w:val="en-GB"/>
        </w:rPr>
        <w:t xml:space="preserve"> 30 March 2006, § 9.8, CCPR/C/86/D/992/2001), aunts and uncles (</w:t>
      </w:r>
      <w:r w:rsidRPr="00EE6125">
        <w:rPr>
          <w:i/>
          <w:color w:val="000000"/>
          <w:lang w:val="en-GB"/>
        </w:rPr>
        <w:t>Benaniza v Algeria,</w:t>
      </w:r>
      <w:r w:rsidRPr="00EE6125">
        <w:rPr>
          <w:color w:val="000000"/>
          <w:lang w:val="en-GB"/>
        </w:rPr>
        <w:t xml:space="preserve"> views of 26 July 2010, § 9.4, CCPR/C/99/D/1588/2007) (</w:t>
      </w:r>
      <w:r w:rsidRPr="00EE6125">
        <w:rPr>
          <w:i/>
          <w:color w:val="000000"/>
          <w:lang w:val="en-GB"/>
        </w:rPr>
        <w:t>Bashasha v. Libyan Arab Jamahiriya</w:t>
      </w:r>
      <w:r w:rsidRPr="00EE6125">
        <w:rPr>
          <w:color w:val="000000"/>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EE6125">
        <w:rPr>
          <w:i/>
          <w:color w:val="000000"/>
          <w:lang w:val="en-GB"/>
        </w:rPr>
        <w:t>Aboussedra v. Libyan Arab Jamahiriya</w:t>
      </w:r>
      <w:r w:rsidRPr="00EE6125">
        <w:rPr>
          <w:color w:val="000000"/>
          <w:lang w:val="en-GB"/>
        </w:rPr>
        <w:t xml:space="preserve">, </w:t>
      </w:r>
      <w:r w:rsidRPr="00EE6125">
        <w:rPr>
          <w:bCs/>
          <w:color w:val="000000"/>
          <w:lang w:val="en-GB"/>
        </w:rPr>
        <w:t>Communication No. 1751/2008,</w:t>
      </w:r>
      <w:r w:rsidRPr="00EE6125">
        <w:rPr>
          <w:color w:val="000000"/>
          <w:lang w:val="en-GB"/>
        </w:rPr>
        <w:t xml:space="preserve"> views of 25 October 2010, § 7.5, </w:t>
      </w:r>
      <w:r w:rsidRPr="00EE6125">
        <w:rPr>
          <w:bCs/>
          <w:color w:val="000000"/>
          <w:lang w:val="en-GB"/>
        </w:rPr>
        <w:t>CCPR/C/100/D/1751/2008</w:t>
      </w:r>
      <w:r w:rsidRPr="00EE6125">
        <w:rPr>
          <w:color w:val="000000"/>
          <w:lang w:val="en-GB"/>
        </w:rPr>
        <w:t xml:space="preserve">). In the case </w:t>
      </w:r>
      <w:r w:rsidRPr="00EE6125">
        <w:rPr>
          <w:i/>
          <w:color w:val="000000"/>
          <w:lang w:val="en-GB"/>
        </w:rPr>
        <w:t>Amirov v. Russian Federation</w:t>
      </w:r>
      <w:r w:rsidRPr="00EE6125">
        <w:rPr>
          <w:color w:val="000000"/>
          <w:lang w:val="en-GB"/>
        </w:rPr>
        <w:t xml:space="preserve"> the Committee observed that “</w:t>
      </w:r>
      <w:r w:rsidRPr="00EE6125">
        <w:rPr>
          <w:color w:val="000000"/>
          <w:lang w:val="en-GB"/>
        </w:rPr>
        <w:sym w:font="Symbol" w:char="F05B"/>
      </w:r>
      <w:r w:rsidRPr="00EE6125">
        <w:rPr>
          <w:color w:val="000000"/>
          <w:lang w:val="en-GB"/>
        </w:rPr>
        <w:t>w</w:t>
      </w:r>
      <w:r w:rsidRPr="00EE6125">
        <w:rPr>
          <w:color w:val="000000"/>
          <w:lang w:val="en-GB"/>
        </w:rPr>
        <w:sym w:font="Symbol" w:char="F05D"/>
      </w:r>
      <w:r w:rsidRPr="00EE6125">
        <w:rPr>
          <w:color w:val="000000"/>
          <w:lang w:val="en-GB"/>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w:t>
      </w:r>
      <w:proofErr w:type="spellStart"/>
      <w:r w:rsidRPr="00EE6125">
        <w:rPr>
          <w:color w:val="000000"/>
          <w:lang w:val="en-GB"/>
        </w:rPr>
        <w:t>lead</w:t>
      </w:r>
      <w:proofErr w:type="spellEnd"/>
      <w:r w:rsidRPr="00EE6125">
        <w:rPr>
          <w:color w:val="000000"/>
          <w:lang w:val="en-GB"/>
        </w:rPr>
        <w:t xml:space="preserve">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0020680D" w:rsidRPr="000D0C3A">
        <w:rPr>
          <w:i/>
          <w:lang w:val="en-GB"/>
        </w:rPr>
        <w:t>Abubakar Amirov and Aïzan Amirova v. Russian Federation</w:t>
      </w:r>
      <w:r w:rsidRPr="00EE6125">
        <w:rPr>
          <w:color w:val="000000"/>
          <w:lang w:val="en-GB"/>
        </w:rPr>
        <w:t xml:space="preserve">, cited in § </w:t>
      </w:r>
      <w:r w:rsidR="002B1686" w:rsidRPr="00EE6125">
        <w:rPr>
          <w:color w:val="000000"/>
          <w:lang w:val="en-GB"/>
        </w:rPr>
        <w:fldChar w:fldCharType="begin"/>
      </w:r>
      <w:r w:rsidR="0020680D" w:rsidRPr="00EE6125">
        <w:rPr>
          <w:color w:val="000000"/>
          <w:lang w:val="en-GB"/>
        </w:rPr>
        <w:instrText xml:space="preserve"> </w:instrText>
      </w:r>
      <w:r w:rsidR="0078377B">
        <w:rPr>
          <w:color w:val="000000"/>
          <w:lang w:val="en-GB"/>
        </w:rPr>
        <w:instrText>REF</w:instrText>
      </w:r>
      <w:r w:rsidR="0020680D" w:rsidRPr="00EE6125">
        <w:rPr>
          <w:color w:val="000000"/>
          <w:lang w:val="en-GB"/>
        </w:rPr>
        <w:instrText xml:space="preserve"> _Ref404677616 \r \h </w:instrText>
      </w:r>
      <w:r w:rsidR="002B1686" w:rsidRPr="00EE6125">
        <w:rPr>
          <w:color w:val="000000"/>
          <w:lang w:val="en-GB"/>
        </w:rPr>
      </w:r>
      <w:r w:rsidR="002B1686" w:rsidRPr="00EE6125">
        <w:rPr>
          <w:color w:val="000000"/>
          <w:lang w:val="en-GB"/>
        </w:rPr>
        <w:fldChar w:fldCharType="separate"/>
      </w:r>
      <w:r w:rsidR="00A35759">
        <w:rPr>
          <w:color w:val="000000"/>
          <w:lang w:val="en-GB"/>
        </w:rPr>
        <w:t>171</w:t>
      </w:r>
      <w:r w:rsidR="002B1686" w:rsidRPr="00EE6125">
        <w:rPr>
          <w:color w:val="000000"/>
          <w:lang w:val="en-GB"/>
        </w:rPr>
        <w:fldChar w:fldCharType="end"/>
      </w:r>
      <w:r w:rsidR="0020680D" w:rsidRPr="00EE6125">
        <w:rPr>
          <w:color w:val="000000"/>
          <w:lang w:val="en-GB"/>
        </w:rPr>
        <w:t xml:space="preserve"> </w:t>
      </w:r>
      <w:r w:rsidRPr="00EE6125">
        <w:rPr>
          <w:color w:val="000000"/>
          <w:lang w:val="en-GB"/>
        </w:rPr>
        <w:t>above, at § 11.7).</w:t>
      </w:r>
    </w:p>
    <w:p w:rsidR="00351E98" w:rsidRPr="00EE6125" w:rsidRDefault="00351E98" w:rsidP="00351E98">
      <w:pPr>
        <w:tabs>
          <w:tab w:val="num" w:pos="450"/>
        </w:tabs>
        <w:suppressAutoHyphens/>
        <w:autoSpaceDE w:val="0"/>
        <w:ind w:left="450" w:hanging="45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EE6125">
        <w:rPr>
          <w:i/>
          <w:color w:val="000000"/>
          <w:lang w:val="en-GB"/>
        </w:rPr>
        <w:t xml:space="preserve">Açiș </w:t>
      </w:r>
      <w:proofErr w:type="spellStart"/>
      <w:r w:rsidRPr="00EE6125">
        <w:rPr>
          <w:i/>
          <w:color w:val="000000"/>
          <w:lang w:val="en-GB"/>
        </w:rPr>
        <w:t>v.Turkey</w:t>
      </w:r>
      <w:proofErr w:type="spellEnd"/>
      <w:r w:rsidRPr="00EE6125">
        <w:rPr>
          <w:color w:val="000000"/>
          <w:lang w:val="en-GB"/>
        </w:rPr>
        <w:t>, no. 7050/05, judgment of 1 February 2011, § 45).</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lastRenderedPageBreak/>
        <w:t xml:space="preserve">In this respect, it is the position of the European Court that findings under the procedural limb of Article 2 would also be of direct relevance in considering the existence of a violation of Article 3 (see ECtHR, </w:t>
      </w:r>
      <w:r w:rsidRPr="00EE6125">
        <w:rPr>
          <w:i/>
          <w:color w:val="000000"/>
          <w:lang w:val="en-GB"/>
        </w:rPr>
        <w:t>Basayeva and Others v. Russia</w:t>
      </w:r>
      <w:r w:rsidRPr="00EE6125">
        <w:rPr>
          <w:color w:val="000000"/>
          <w:lang w:val="en-GB"/>
        </w:rPr>
        <w:t xml:space="preserve">, cited in § </w:t>
      </w:r>
      <w:r w:rsidR="0037719A">
        <w:fldChar w:fldCharType="begin"/>
      </w:r>
      <w:r w:rsidR="0037719A">
        <w:instrText xml:space="preserve"> REF _Ref374623221 \r \h  \* MERGEFORMAT </w:instrText>
      </w:r>
      <w:r w:rsidR="0037719A">
        <w:fldChar w:fldCharType="separate"/>
      </w:r>
      <w:r w:rsidR="00A35759" w:rsidRPr="00A35759">
        <w:rPr>
          <w:color w:val="000000"/>
          <w:lang w:val="en-GB"/>
        </w:rPr>
        <w:t>236</w:t>
      </w:r>
      <w:r w:rsidR="0037719A">
        <w:fldChar w:fldCharType="end"/>
      </w:r>
      <w:r w:rsidRPr="00EE6125">
        <w:rPr>
          <w:color w:val="000000"/>
          <w:lang w:val="en-GB"/>
        </w:rPr>
        <w:t xml:space="preserve"> above, at § 109; ECtHR, </w:t>
      </w:r>
      <w:r w:rsidRPr="00EE6125">
        <w:rPr>
          <w:i/>
          <w:color w:val="000000"/>
          <w:lang w:val="en-GB"/>
        </w:rPr>
        <w:t>Gelayevy v. Russia</w:t>
      </w:r>
      <w:r w:rsidRPr="00EE6125">
        <w:rPr>
          <w:color w:val="000000"/>
          <w:lang w:val="en-GB"/>
        </w:rPr>
        <w:t xml:space="preserve">, cited in § </w:t>
      </w:r>
      <w:r w:rsidR="0037719A">
        <w:fldChar w:fldCharType="begin"/>
      </w:r>
      <w:r w:rsidR="0037719A">
        <w:instrText xml:space="preserve"> REF _Ref374623316 \r \h  \* MERGEFORMAT </w:instrText>
      </w:r>
      <w:r w:rsidR="0037719A">
        <w:fldChar w:fldCharType="separate"/>
      </w:r>
      <w:r w:rsidR="00A35759" w:rsidRPr="00A35759">
        <w:rPr>
          <w:color w:val="000000"/>
          <w:lang w:val="en-GB"/>
        </w:rPr>
        <w:t>224</w:t>
      </w:r>
      <w:r w:rsidR="0037719A">
        <w:fldChar w:fldCharType="end"/>
      </w:r>
      <w:r w:rsidRPr="00EE6125">
        <w:rPr>
          <w:color w:val="000000"/>
          <w:lang w:val="en-GB"/>
        </w:rPr>
        <w:t xml:space="preserve"> above, at § 147; ECtHR, </w:t>
      </w:r>
      <w:r w:rsidRPr="00EE6125">
        <w:rPr>
          <w:i/>
          <w:color w:val="000000"/>
          <w:lang w:val="en-GB"/>
        </w:rPr>
        <w:t>Bazorkina v. Russia</w:t>
      </w:r>
      <w:r w:rsidRPr="00EE6125">
        <w:rPr>
          <w:color w:val="000000"/>
          <w:lang w:val="en-GB"/>
        </w:rPr>
        <w:t xml:space="preserve">, cited in § </w:t>
      </w:r>
      <w:r w:rsidR="002B1686" w:rsidRPr="00EE6125">
        <w:rPr>
          <w:color w:val="000000"/>
          <w:lang w:val="en-GB"/>
        </w:rPr>
        <w:fldChar w:fldCharType="begin"/>
      </w:r>
      <w:r w:rsidR="0020680D" w:rsidRPr="00EE6125">
        <w:rPr>
          <w:color w:val="000000"/>
          <w:lang w:val="en-GB"/>
        </w:rPr>
        <w:instrText xml:space="preserve"> </w:instrText>
      </w:r>
      <w:r w:rsidR="0078377B">
        <w:rPr>
          <w:color w:val="000000"/>
          <w:lang w:val="en-GB"/>
        </w:rPr>
        <w:instrText>REF</w:instrText>
      </w:r>
      <w:r w:rsidR="0020680D" w:rsidRPr="00EE6125">
        <w:rPr>
          <w:color w:val="000000"/>
          <w:lang w:val="en-GB"/>
        </w:rPr>
        <w:instrText xml:space="preserve"> _Ref401251707 \r \h </w:instrText>
      </w:r>
      <w:r w:rsidR="002B1686" w:rsidRPr="00EE6125">
        <w:rPr>
          <w:color w:val="000000"/>
          <w:lang w:val="en-GB"/>
        </w:rPr>
      </w:r>
      <w:r w:rsidR="002B1686" w:rsidRPr="00EE6125">
        <w:rPr>
          <w:color w:val="000000"/>
          <w:lang w:val="en-GB"/>
        </w:rPr>
        <w:fldChar w:fldCharType="separate"/>
      </w:r>
      <w:r w:rsidR="00A35759">
        <w:rPr>
          <w:color w:val="000000"/>
          <w:lang w:val="en-GB"/>
        </w:rPr>
        <w:t>170</w:t>
      </w:r>
      <w:r w:rsidR="002B1686" w:rsidRPr="00EE6125">
        <w:rPr>
          <w:color w:val="000000"/>
          <w:lang w:val="en-GB"/>
        </w:rPr>
        <w:fldChar w:fldCharType="end"/>
      </w:r>
      <w:r w:rsidR="0020680D" w:rsidRPr="00EE6125">
        <w:rPr>
          <w:color w:val="000000"/>
          <w:lang w:val="en-GB"/>
        </w:rPr>
        <w:t xml:space="preserve"> </w:t>
      </w:r>
      <w:r w:rsidRPr="00EE6125">
        <w:rPr>
          <w:color w:val="000000"/>
          <w:lang w:val="en-GB"/>
        </w:rPr>
        <w:t>above, at § 140).</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observes that the European Court has already found violations of Article 3 of the ECHR in relation to disappearances in which the State itself was found to be responsible for the abduction (see ECtHR, </w:t>
      </w:r>
      <w:r w:rsidRPr="00EE6125">
        <w:rPr>
          <w:i/>
          <w:color w:val="000000"/>
          <w:lang w:val="en-GB"/>
        </w:rPr>
        <w:t>Luluyev and Others v. Russia</w:t>
      </w:r>
      <w:r w:rsidRPr="00EE6125">
        <w:rPr>
          <w:color w:val="000000"/>
          <w:lang w:val="en-GB"/>
        </w:rPr>
        <w:t xml:space="preserve">, no. 69480/01, judgment of 9 November 2006, §§ 117 - 118; ECtHR, </w:t>
      </w:r>
      <w:r w:rsidRPr="00EE6125">
        <w:rPr>
          <w:i/>
          <w:color w:val="000000"/>
          <w:lang w:val="en-GB"/>
        </w:rPr>
        <w:t>Kukayev v. Russia</w:t>
      </w:r>
      <w:r w:rsidRPr="00EE6125">
        <w:rPr>
          <w:color w:val="000000"/>
          <w:lang w:val="en-GB"/>
        </w:rPr>
        <w:t xml:space="preserve">, no. 29361/02, judgment of 15 November 2007, §§ 107 - 110). </w:t>
      </w:r>
      <w:r w:rsidR="008103F1">
        <w:rPr>
          <w:color w:val="000000"/>
          <w:lang w:val="en-GB"/>
        </w:rPr>
        <w:t>I</w:t>
      </w:r>
      <w:r w:rsidRPr="00EE6125">
        <w:rPr>
          <w:color w:val="000000"/>
          <w:lang w:val="en-GB"/>
        </w:rPr>
        <w:t xml:space="preserve">n contrast, in the case under the Panel’s consideration, in no way is UNMIK implicated in the actual </w:t>
      </w:r>
      <w:r w:rsidR="008103F1">
        <w:rPr>
          <w:color w:val="000000"/>
          <w:lang w:val="en-GB"/>
        </w:rPr>
        <w:t xml:space="preserve">abductions and </w:t>
      </w:r>
      <w:r w:rsidRPr="00EE6125">
        <w:rPr>
          <w:color w:val="000000"/>
          <w:lang w:val="en-GB"/>
        </w:rPr>
        <w:t>disappearance</w:t>
      </w:r>
      <w:r w:rsidR="008103F1">
        <w:rPr>
          <w:color w:val="000000"/>
          <w:lang w:val="en-GB"/>
        </w:rPr>
        <w:t>s</w:t>
      </w:r>
      <w:r w:rsidRPr="00EE6125">
        <w:rPr>
          <w:color w:val="000000"/>
          <w:lang w:val="en-GB"/>
        </w:rPr>
        <w:t xml:space="preserve"> and </w:t>
      </w:r>
      <w:r w:rsidR="008103F1">
        <w:rPr>
          <w:color w:val="000000"/>
          <w:lang w:val="en-GB"/>
        </w:rPr>
        <w:t xml:space="preserve">it </w:t>
      </w:r>
      <w:r w:rsidRPr="00EE6125">
        <w:rPr>
          <w:color w:val="000000"/>
          <w:lang w:val="en-GB"/>
        </w:rPr>
        <w:t xml:space="preserve">cannot be held responsible for the </w:t>
      </w:r>
      <w:r w:rsidR="008103F1">
        <w:rPr>
          <w:color w:val="000000"/>
          <w:lang w:val="en-GB"/>
        </w:rPr>
        <w:t>complainants’</w:t>
      </w:r>
      <w:r w:rsidR="008103F1" w:rsidRPr="00EE6125">
        <w:rPr>
          <w:color w:val="000000"/>
          <w:lang w:val="en-GB"/>
        </w:rPr>
        <w:t xml:space="preserve"> </w:t>
      </w:r>
      <w:r w:rsidRPr="00EE6125">
        <w:rPr>
          <w:color w:val="000000"/>
          <w:lang w:val="en-GB"/>
        </w:rPr>
        <w:t xml:space="preserve">mental distress caused by </w:t>
      </w:r>
      <w:r w:rsidR="008103F1">
        <w:rPr>
          <w:color w:val="000000"/>
          <w:lang w:val="en-GB"/>
        </w:rPr>
        <w:t>these tragic events</w:t>
      </w:r>
      <w:r w:rsidRPr="00EE6125">
        <w:rPr>
          <w:color w:val="000000"/>
          <w:lang w:val="en-GB"/>
        </w:rPr>
        <w:t>.</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EE6125">
        <w:rPr>
          <w:rStyle w:val="sb8d990e2"/>
          <w:color w:val="000000"/>
          <w:lang w:val="en-GB"/>
        </w:rPr>
        <w:t>could have in itself</w:t>
      </w:r>
      <w:r w:rsidRPr="00EE6125">
        <w:rPr>
          <w:color w:val="000000"/>
          <w:lang w:val="en-GB"/>
        </w:rPr>
        <w:t xml:space="preserve"> caused the applicant mental distress in excess of the minimum level of severity, which is necessary in order to consider treatment as falling within the scope of Article 3 (see, among others, ECtHR, </w:t>
      </w:r>
      <w:r w:rsidRPr="00EE6125">
        <w:rPr>
          <w:i/>
          <w:color w:val="000000"/>
          <w:lang w:val="en-GB"/>
        </w:rPr>
        <w:t>Tovsultanova v. Russia</w:t>
      </w:r>
      <w:r w:rsidRPr="00EE6125">
        <w:rPr>
          <w:color w:val="000000"/>
          <w:lang w:val="en-GB"/>
        </w:rPr>
        <w:t xml:space="preserve">, no. 26974/06, judgment of 17 June 2010, § 104; ECtHR, </w:t>
      </w:r>
      <w:r w:rsidRPr="00EE6125">
        <w:rPr>
          <w:i/>
          <w:color w:val="000000"/>
          <w:lang w:val="en-GB"/>
        </w:rPr>
        <w:t>Shafiyeva v. Russia</w:t>
      </w:r>
      <w:r w:rsidRPr="00EE6125">
        <w:rPr>
          <w:color w:val="000000"/>
          <w:lang w:val="en-GB"/>
        </w:rPr>
        <w:t>, no. 49379/09, judgment of 3 May 2012, § 103).</w:t>
      </w:r>
    </w:p>
    <w:p w:rsidR="00351E98" w:rsidRPr="00EE6125" w:rsidRDefault="00351E98" w:rsidP="00351E98">
      <w:pPr>
        <w:pStyle w:val="Default"/>
        <w:tabs>
          <w:tab w:val="left" w:pos="360"/>
          <w:tab w:val="left" w:pos="540"/>
          <w:tab w:val="left" w:pos="720"/>
        </w:tabs>
        <w:ind w:left="450" w:hanging="450"/>
        <w:jc w:val="both"/>
        <w:rPr>
          <w:lang w:val="en-GB"/>
        </w:rPr>
      </w:pPr>
    </w:p>
    <w:p w:rsidR="00351E98" w:rsidRPr="00EE6125" w:rsidRDefault="00351E98" w:rsidP="00351E98">
      <w:pPr>
        <w:pStyle w:val="ListParagraph1"/>
        <w:numPr>
          <w:ilvl w:val="0"/>
          <w:numId w:val="11"/>
        </w:numPr>
        <w:ind w:left="360"/>
        <w:jc w:val="both"/>
        <w:rPr>
          <w:i/>
          <w:color w:val="000000"/>
          <w:lang w:eastAsia="en-US"/>
        </w:rPr>
      </w:pPr>
      <w:r w:rsidRPr="00EE6125">
        <w:rPr>
          <w:i/>
          <w:color w:val="000000"/>
          <w:lang w:eastAsia="en-US"/>
        </w:rPr>
        <w:t>Applicability of Article 3 to the Kosovo context</w:t>
      </w:r>
    </w:p>
    <w:p w:rsidR="00351E98" w:rsidRPr="00EE6125" w:rsidRDefault="00351E98" w:rsidP="00351E98">
      <w:pPr>
        <w:pStyle w:val="Default"/>
        <w:tabs>
          <w:tab w:val="left" w:pos="360"/>
          <w:tab w:val="left" w:pos="540"/>
          <w:tab w:val="left" w:pos="720"/>
        </w:tabs>
        <w:ind w:hanging="360"/>
        <w:jc w:val="both"/>
        <w:rPr>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With regard to the </w:t>
      </w:r>
      <w:r w:rsidRPr="00EE6125">
        <w:rPr>
          <w:rStyle w:val="sb8d990e2"/>
          <w:color w:val="000000"/>
        </w:rPr>
        <w:t>applicability</w:t>
      </w:r>
      <w:r w:rsidRPr="00EE6125">
        <w:rPr>
          <w:color w:val="000000"/>
          <w:lang w:val="en-GB"/>
        </w:rPr>
        <w:t xml:space="preserve"> of the above standards to the Kosovo context, the Panel first refers to its view on the same issue with regard to Article 2, developed above (see §§ </w:t>
      </w:r>
      <w:r w:rsidR="002B1686" w:rsidRPr="00EE6125">
        <w:rPr>
          <w:color w:val="000000"/>
          <w:lang w:val="en-GB"/>
        </w:rPr>
        <w:fldChar w:fldCharType="begin"/>
      </w:r>
      <w:r w:rsidR="0020680D" w:rsidRPr="00EE6125">
        <w:rPr>
          <w:color w:val="000000"/>
          <w:lang w:val="en-GB"/>
        </w:rPr>
        <w:instrText xml:space="preserve"> </w:instrText>
      </w:r>
      <w:r w:rsidR="0078377B">
        <w:rPr>
          <w:color w:val="000000"/>
          <w:lang w:val="en-GB"/>
        </w:rPr>
        <w:instrText>REF</w:instrText>
      </w:r>
      <w:r w:rsidR="0020680D" w:rsidRPr="00EE6125">
        <w:rPr>
          <w:color w:val="000000"/>
          <w:lang w:val="en-GB"/>
        </w:rPr>
        <w:instrText xml:space="preserve"> _Ref404677680 \r \h </w:instrText>
      </w:r>
      <w:r w:rsidR="002B1686" w:rsidRPr="00EE6125">
        <w:rPr>
          <w:color w:val="000000"/>
          <w:lang w:val="en-GB"/>
        </w:rPr>
      </w:r>
      <w:r w:rsidR="002B1686" w:rsidRPr="00EE6125">
        <w:rPr>
          <w:color w:val="000000"/>
          <w:lang w:val="en-GB"/>
        </w:rPr>
        <w:fldChar w:fldCharType="separate"/>
      </w:r>
      <w:r w:rsidR="00A35759">
        <w:rPr>
          <w:color w:val="000000"/>
          <w:lang w:val="en-GB"/>
        </w:rPr>
        <w:t>165</w:t>
      </w:r>
      <w:r w:rsidR="002B1686" w:rsidRPr="00EE6125">
        <w:rPr>
          <w:color w:val="000000"/>
          <w:lang w:val="en-GB"/>
        </w:rPr>
        <w:fldChar w:fldCharType="end"/>
      </w:r>
      <w:r w:rsidR="0020680D" w:rsidRPr="00EE6125">
        <w:rPr>
          <w:color w:val="000000"/>
          <w:lang w:val="en-GB"/>
        </w:rPr>
        <w:t xml:space="preserve"> </w:t>
      </w:r>
      <w:r w:rsidRPr="00EE6125">
        <w:rPr>
          <w:color w:val="000000"/>
          <w:lang w:val="en-GB"/>
        </w:rPr>
        <w:t xml:space="preserve">- </w:t>
      </w:r>
      <w:r w:rsidR="002B1686" w:rsidRPr="00EE6125">
        <w:rPr>
          <w:color w:val="000000"/>
          <w:lang w:val="en-GB"/>
        </w:rPr>
        <w:fldChar w:fldCharType="begin"/>
      </w:r>
      <w:r w:rsidR="0020680D" w:rsidRPr="00EE6125">
        <w:rPr>
          <w:color w:val="000000"/>
          <w:lang w:val="en-GB"/>
        </w:rPr>
        <w:instrText xml:space="preserve"> </w:instrText>
      </w:r>
      <w:r w:rsidR="0078377B">
        <w:rPr>
          <w:color w:val="000000"/>
          <w:lang w:val="en-GB"/>
        </w:rPr>
        <w:instrText>REF</w:instrText>
      </w:r>
      <w:r w:rsidR="0020680D" w:rsidRPr="00EE6125">
        <w:rPr>
          <w:color w:val="000000"/>
          <w:lang w:val="en-GB"/>
        </w:rPr>
        <w:instrText xml:space="preserve"> _Ref403727675 \r \h </w:instrText>
      </w:r>
      <w:r w:rsidR="002B1686" w:rsidRPr="00EE6125">
        <w:rPr>
          <w:color w:val="000000"/>
          <w:lang w:val="en-GB"/>
        </w:rPr>
      </w:r>
      <w:r w:rsidR="002B1686" w:rsidRPr="00EE6125">
        <w:rPr>
          <w:color w:val="000000"/>
          <w:lang w:val="en-GB"/>
        </w:rPr>
        <w:fldChar w:fldCharType="separate"/>
      </w:r>
      <w:r w:rsidR="00A35759">
        <w:rPr>
          <w:color w:val="000000"/>
          <w:lang w:val="en-GB"/>
        </w:rPr>
        <w:t>176</w:t>
      </w:r>
      <w:r w:rsidR="002B1686" w:rsidRPr="00EE6125">
        <w:rPr>
          <w:color w:val="000000"/>
          <w:lang w:val="en-GB"/>
        </w:rPr>
        <w:fldChar w:fldCharType="end"/>
      </w:r>
      <w:r w:rsidR="0020680D" w:rsidRPr="00EE6125">
        <w:rPr>
          <w:color w:val="000000"/>
          <w:lang w:val="en-GB"/>
        </w:rPr>
        <w:t xml:space="preserve"> </w:t>
      </w:r>
      <w:r w:rsidRPr="00EE6125">
        <w:rPr>
          <w:color w:val="000000"/>
          <w:lang w:val="en-GB"/>
        </w:rPr>
        <w:t>above).</w:t>
      </w:r>
    </w:p>
    <w:p w:rsidR="00351E98" w:rsidRPr="00EE6125" w:rsidRDefault="00351E98" w:rsidP="00351E98">
      <w:pPr>
        <w:pStyle w:val="Default"/>
        <w:tabs>
          <w:tab w:val="num" w:pos="450"/>
        </w:tabs>
        <w:ind w:left="450" w:hanging="450"/>
        <w:jc w:val="both"/>
        <w:rPr>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37719A">
        <w:fldChar w:fldCharType="begin"/>
      </w:r>
      <w:r w:rsidR="0037719A">
        <w:instrText xml:space="preserve"> REF _Ref398312960 \r \h  \* MERGEFORMAT </w:instrText>
      </w:r>
      <w:r w:rsidR="0037719A">
        <w:fldChar w:fldCharType="separate"/>
      </w:r>
      <w:r w:rsidR="00A35759" w:rsidRPr="00A35759">
        <w:rPr>
          <w:color w:val="000000"/>
          <w:lang w:val="en-GB"/>
        </w:rPr>
        <w:t>45</w:t>
      </w:r>
      <w:r w:rsidR="0037719A">
        <w:fldChar w:fldCharType="end"/>
      </w:r>
      <w:r w:rsidRPr="00EE6125">
        <w:rPr>
          <w:color w:val="000000"/>
          <w:lang w:val="en-GB"/>
        </w:rPr>
        <w:t xml:space="preserve"> above).</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again notes that it will not review relevant practices or alleged obstacles to the conduct of effective investigations </w:t>
      </w:r>
      <w:r w:rsidRPr="00EE6125">
        <w:rPr>
          <w:i/>
          <w:color w:val="000000"/>
          <w:lang w:val="en-GB"/>
        </w:rPr>
        <w:t>in abstracto</w:t>
      </w:r>
      <w:r w:rsidRPr="00EE6125">
        <w:rPr>
          <w:color w:val="000000"/>
          <w:lang w:val="en-GB"/>
        </w:rPr>
        <w:t>, but only in relation to their specific application to the complaint before it, considering the particular circumstances of the case.</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351E98" w:rsidRPr="00E025EE" w:rsidRDefault="00351E98" w:rsidP="00351E98">
      <w:pPr>
        <w:rPr>
          <w:color w:val="000000"/>
          <w:lang w:val="en-GB"/>
        </w:rPr>
      </w:pPr>
    </w:p>
    <w:p w:rsidR="00E025EE" w:rsidRPr="00E025EE" w:rsidRDefault="00E025EE" w:rsidP="00351E98">
      <w:pPr>
        <w:rPr>
          <w:color w:val="000000"/>
          <w:lang w:val="en-GB"/>
        </w:rPr>
      </w:pPr>
    </w:p>
    <w:p w:rsidR="00351E98" w:rsidRPr="00EE6125" w:rsidRDefault="00351E98" w:rsidP="00351E98">
      <w:pPr>
        <w:pStyle w:val="ListParagraph1"/>
        <w:numPr>
          <w:ilvl w:val="0"/>
          <w:numId w:val="11"/>
        </w:numPr>
        <w:ind w:left="360"/>
        <w:jc w:val="both"/>
        <w:rPr>
          <w:color w:val="000000"/>
        </w:rPr>
      </w:pPr>
      <w:r w:rsidRPr="00EE6125">
        <w:rPr>
          <w:i/>
          <w:color w:val="000000"/>
          <w:lang w:eastAsia="en-US"/>
        </w:rPr>
        <w:lastRenderedPageBreak/>
        <w:t>Compliance</w:t>
      </w:r>
      <w:r w:rsidRPr="00EE6125">
        <w:rPr>
          <w:i/>
          <w:color w:val="000000"/>
        </w:rPr>
        <w:t xml:space="preserve"> with Article 3 in the present case</w:t>
      </w:r>
    </w:p>
    <w:p w:rsidR="00351E98" w:rsidRPr="00EE6125" w:rsidRDefault="00351E98" w:rsidP="00351E98">
      <w:pPr>
        <w:pStyle w:val="ColorfulList-Accent11"/>
        <w:ind w:left="36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Against this background, the Panel discerns a number of factors in the present case which, taken together, raise the question of violation of Article 3 of the ECHR.</w:t>
      </w:r>
    </w:p>
    <w:p w:rsidR="00351E98" w:rsidRPr="00EE6125" w:rsidRDefault="00351E98" w:rsidP="00351E98">
      <w:pPr>
        <w:pStyle w:val="Default"/>
        <w:tabs>
          <w:tab w:val="num" w:pos="450"/>
        </w:tabs>
        <w:ind w:left="450" w:hanging="450"/>
        <w:jc w:val="both"/>
        <w:rPr>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The Panel notes the proximity of the family ties between the complainant</w:t>
      </w:r>
      <w:r w:rsidR="00496F5D" w:rsidRPr="00EE6125">
        <w:rPr>
          <w:color w:val="000000"/>
          <w:lang w:val="en-GB"/>
        </w:rPr>
        <w:t>s</w:t>
      </w:r>
      <w:r w:rsidRPr="00EE6125">
        <w:rPr>
          <w:color w:val="000000"/>
          <w:lang w:val="en-GB"/>
        </w:rPr>
        <w:t xml:space="preserve"> and </w:t>
      </w:r>
      <w:r w:rsidR="00496F5D" w:rsidRPr="00EE6125">
        <w:rPr>
          <w:color w:val="000000"/>
          <w:lang w:val="en-GB"/>
        </w:rPr>
        <w:t>their missing relatives</w:t>
      </w:r>
      <w:r w:rsidR="00F17332">
        <w:rPr>
          <w:color w:val="000000"/>
          <w:lang w:val="en-GB"/>
        </w:rPr>
        <w:t xml:space="preserve"> which is not contested by the SRSG. Indeed, </w:t>
      </w:r>
      <w:r w:rsidR="006F4C09" w:rsidRPr="00962637">
        <w:t xml:space="preserve">Mrs </w:t>
      </w:r>
      <w:proofErr w:type="spellStart"/>
      <w:r w:rsidR="006F4C09" w:rsidRPr="00962637">
        <w:t>Dar</w:t>
      </w:r>
      <w:r w:rsidR="006F4C09">
        <w:t>inka</w:t>
      </w:r>
      <w:proofErr w:type="spellEnd"/>
      <w:r w:rsidR="006F4C09" w:rsidRPr="00962637">
        <w:t xml:space="preserve"> </w:t>
      </w:r>
      <w:proofErr w:type="spellStart"/>
      <w:r w:rsidR="006F4C09" w:rsidRPr="00962637">
        <w:t>Šutaković</w:t>
      </w:r>
      <w:proofErr w:type="spellEnd"/>
      <w:r w:rsidR="006F4C09">
        <w:t xml:space="preserve"> is the stepmother, Mr </w:t>
      </w:r>
      <w:proofErr w:type="spellStart"/>
      <w:r w:rsidR="006F4C09" w:rsidRPr="00962637">
        <w:t>Nedeljko</w:t>
      </w:r>
      <w:proofErr w:type="spellEnd"/>
      <w:r w:rsidR="006F4C09" w:rsidRPr="00962637">
        <w:t xml:space="preserve"> </w:t>
      </w:r>
      <w:proofErr w:type="spellStart"/>
      <w:r w:rsidR="006F4C09" w:rsidRPr="00962637">
        <w:t>Šutaković</w:t>
      </w:r>
      <w:proofErr w:type="spellEnd"/>
      <w:r w:rsidR="006F4C09">
        <w:t xml:space="preserve"> is the father, while R</w:t>
      </w:r>
      <w:r w:rsidR="006F4C09" w:rsidRPr="00962637">
        <w:t>adovan</w:t>
      </w:r>
      <w:r w:rsidR="006F4C09">
        <w:t>,</w:t>
      </w:r>
      <w:r w:rsidR="006F4C09" w:rsidRPr="00962637">
        <w:t xml:space="preserve"> </w:t>
      </w:r>
      <w:proofErr w:type="spellStart"/>
      <w:r w:rsidR="006F4C09" w:rsidRPr="00962637">
        <w:t>Ðorđe</w:t>
      </w:r>
      <w:proofErr w:type="spellEnd"/>
      <w:r w:rsidR="006F4C09" w:rsidRPr="00962637">
        <w:t xml:space="preserve"> </w:t>
      </w:r>
      <w:r w:rsidR="006F4C09">
        <w:t xml:space="preserve">and </w:t>
      </w:r>
      <w:proofErr w:type="spellStart"/>
      <w:r w:rsidR="006F4C09">
        <w:t>Aleksandar</w:t>
      </w:r>
      <w:proofErr w:type="spellEnd"/>
      <w:r w:rsidR="006F4C09">
        <w:t xml:space="preserve"> </w:t>
      </w:r>
      <w:proofErr w:type="spellStart"/>
      <w:r w:rsidR="006F4C09">
        <w:t>Šutaković</w:t>
      </w:r>
      <w:proofErr w:type="spellEnd"/>
      <w:r w:rsidR="006F4C09">
        <w:t xml:space="preserve"> are juvenile brothers</w:t>
      </w:r>
      <w:r w:rsidR="006F4C09" w:rsidRPr="006F4C09">
        <w:t xml:space="preserve"> of the first complainant, Ms Lela </w:t>
      </w:r>
      <w:proofErr w:type="spellStart"/>
      <w:r w:rsidR="006F4C09" w:rsidRPr="006F4C09">
        <w:t>Nikolić</w:t>
      </w:r>
      <w:proofErr w:type="spellEnd"/>
      <w:r w:rsidR="006F4C09" w:rsidRPr="006F4C09">
        <w:t>.</w:t>
      </w:r>
      <w:r w:rsidR="006F4C09">
        <w:t xml:space="preserve"> The second complainant, Ms </w:t>
      </w:r>
      <w:proofErr w:type="spellStart"/>
      <w:r w:rsidR="006F4C09">
        <w:t>Rosanda</w:t>
      </w:r>
      <w:proofErr w:type="spellEnd"/>
      <w:r w:rsidR="006F4C09">
        <w:t xml:space="preserve"> </w:t>
      </w:r>
      <w:proofErr w:type="spellStart"/>
      <w:r w:rsidR="006F4C09">
        <w:t>Kabaš</w:t>
      </w:r>
      <w:proofErr w:type="spellEnd"/>
      <w:r w:rsidR="006F4C09">
        <w:t xml:space="preserve"> is a sister of Mr </w:t>
      </w:r>
      <w:proofErr w:type="spellStart"/>
      <w:r w:rsidR="006F4C09">
        <w:t>Milenko</w:t>
      </w:r>
      <w:proofErr w:type="spellEnd"/>
      <w:r w:rsidR="006F4C09">
        <w:t xml:space="preserve"> </w:t>
      </w:r>
      <w:proofErr w:type="spellStart"/>
      <w:r w:rsidR="006F4C09">
        <w:t>Kabaš</w:t>
      </w:r>
      <w:proofErr w:type="spellEnd"/>
      <w:r w:rsidR="006F4C09">
        <w:t xml:space="preserve">. The third complainant, Mr Milan </w:t>
      </w:r>
      <w:proofErr w:type="spellStart"/>
      <w:r w:rsidR="006F4C09">
        <w:t>Petrović</w:t>
      </w:r>
      <w:proofErr w:type="spellEnd"/>
      <w:r w:rsidR="006F4C09">
        <w:t xml:space="preserve">, is the son of </w:t>
      </w:r>
      <w:r w:rsidR="006F4C09" w:rsidRPr="00F35DD1">
        <w:rPr>
          <w:lang w:val="en-GB"/>
        </w:rPr>
        <w:t xml:space="preserve">Mr </w:t>
      </w:r>
      <w:proofErr w:type="spellStart"/>
      <w:r w:rsidR="006F4C09" w:rsidRPr="00F35DD1">
        <w:rPr>
          <w:lang w:val="en-GB"/>
        </w:rPr>
        <w:t>Mića</w:t>
      </w:r>
      <w:proofErr w:type="spellEnd"/>
      <w:r w:rsidR="006F4C09" w:rsidRPr="00F35DD1">
        <w:rPr>
          <w:lang w:val="en-GB"/>
        </w:rPr>
        <w:t xml:space="preserve"> </w:t>
      </w:r>
      <w:proofErr w:type="spellStart"/>
      <w:r w:rsidR="006F4C09" w:rsidRPr="00F35DD1">
        <w:rPr>
          <w:lang w:val="en-GB"/>
        </w:rPr>
        <w:t>Petrović</w:t>
      </w:r>
      <w:proofErr w:type="spellEnd"/>
      <w:r w:rsidR="006F4C09" w:rsidRPr="00F35DD1">
        <w:rPr>
          <w:lang w:val="en-GB"/>
        </w:rPr>
        <w:t xml:space="preserve"> and Mrs Radmila </w:t>
      </w:r>
      <w:proofErr w:type="spellStart"/>
      <w:r w:rsidR="006F4C09" w:rsidRPr="00F35DD1">
        <w:rPr>
          <w:lang w:val="en-GB"/>
        </w:rPr>
        <w:t>Petrović</w:t>
      </w:r>
      <w:proofErr w:type="spellEnd"/>
      <w:r w:rsidR="006F4C09">
        <w:t>.</w:t>
      </w:r>
    </w:p>
    <w:p w:rsidR="00351E98" w:rsidRPr="00EE6125" w:rsidRDefault="00351E98" w:rsidP="00351E98">
      <w:pPr>
        <w:tabs>
          <w:tab w:val="num" w:pos="450"/>
        </w:tabs>
        <w:autoSpaceDE w:val="0"/>
        <w:ind w:left="450" w:hanging="45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The Panel recalls the failure established above in relation to the procedural obligation under Article 2, despite the fact that UNMIK Police had the necessary information to pursue investigation from the outset</w:t>
      </w:r>
      <w:r w:rsidR="00496F5D" w:rsidRPr="00EE6125">
        <w:rPr>
          <w:color w:val="000000"/>
          <w:lang w:val="en-GB"/>
        </w:rPr>
        <w:t xml:space="preserve"> and at later stages</w:t>
      </w:r>
      <w:r w:rsidRPr="00EE6125">
        <w:rPr>
          <w:color w:val="000000"/>
          <w:lang w:val="en-GB"/>
        </w:rPr>
        <w:t>. In this respect, the Panel reiterates that from the standpoint of Article 3 it may examine UNMIK’s reactions and attitudes to the complainant in their entirety.</w:t>
      </w:r>
    </w:p>
    <w:p w:rsidR="00351E98" w:rsidRPr="00EE6125" w:rsidRDefault="00351E98" w:rsidP="00351E98">
      <w:pPr>
        <w:pStyle w:val="ColorfulList-Accent11"/>
        <w:ind w:left="450" w:hanging="450"/>
        <w:rPr>
          <w:color w:val="000000"/>
          <w:lang w:val="en-GB"/>
        </w:rPr>
      </w:pPr>
    </w:p>
    <w:p w:rsidR="009B57F6" w:rsidRPr="005B5F9B" w:rsidRDefault="00351E98" w:rsidP="009B57F6">
      <w:pPr>
        <w:numPr>
          <w:ilvl w:val="0"/>
          <w:numId w:val="2"/>
        </w:numPr>
        <w:tabs>
          <w:tab w:val="num" w:pos="450"/>
          <w:tab w:val="left" w:pos="709"/>
        </w:tabs>
        <w:suppressAutoHyphens/>
        <w:autoSpaceDE w:val="0"/>
        <w:ind w:left="450" w:hanging="450"/>
        <w:jc w:val="both"/>
        <w:rPr>
          <w:lang w:val="en-GB"/>
        </w:rPr>
      </w:pPr>
      <w:r w:rsidRPr="005B5F9B">
        <w:rPr>
          <w:lang w:val="en-GB"/>
        </w:rPr>
        <w:t xml:space="preserve">As was shown above with regard to Article 2, no proper investigation was conducted in this case. The </w:t>
      </w:r>
      <w:r w:rsidR="005B5F9B" w:rsidRPr="005B5F9B">
        <w:rPr>
          <w:lang w:val="en-GB"/>
        </w:rPr>
        <w:t xml:space="preserve">file </w:t>
      </w:r>
      <w:r w:rsidRPr="005B5F9B">
        <w:rPr>
          <w:lang w:val="en-GB"/>
        </w:rPr>
        <w:t>record</w:t>
      </w:r>
      <w:r w:rsidR="005B5F9B" w:rsidRPr="005B5F9B">
        <w:rPr>
          <w:lang w:val="en-GB"/>
        </w:rPr>
        <w:t xml:space="preserve">s only one </w:t>
      </w:r>
      <w:r w:rsidRPr="005B5F9B">
        <w:rPr>
          <w:lang w:val="en-GB"/>
        </w:rPr>
        <w:t xml:space="preserve">contact between </w:t>
      </w:r>
      <w:r w:rsidR="00884C42" w:rsidRPr="005B5F9B">
        <w:rPr>
          <w:lang w:val="en-GB"/>
        </w:rPr>
        <w:t xml:space="preserve">one of the </w:t>
      </w:r>
      <w:r w:rsidRPr="005B5F9B">
        <w:rPr>
          <w:lang w:val="en-GB"/>
        </w:rPr>
        <w:t>complainant</w:t>
      </w:r>
      <w:r w:rsidR="00884C42" w:rsidRPr="005B5F9B">
        <w:rPr>
          <w:lang w:val="en-GB"/>
        </w:rPr>
        <w:t>s</w:t>
      </w:r>
      <w:r w:rsidRPr="005B5F9B">
        <w:rPr>
          <w:lang w:val="en-GB"/>
        </w:rPr>
        <w:t xml:space="preserve"> and UNMIK authorities</w:t>
      </w:r>
      <w:r w:rsidRPr="005B5F9B">
        <w:rPr>
          <w:bCs/>
          <w:lang w:val="en-GB"/>
        </w:rPr>
        <w:t xml:space="preserve"> </w:t>
      </w:r>
      <w:r w:rsidR="005B5F9B" w:rsidRPr="005B5F9B">
        <w:rPr>
          <w:bCs/>
          <w:lang w:val="en-GB"/>
        </w:rPr>
        <w:t xml:space="preserve">and another one with one of the relatives, </w:t>
      </w:r>
      <w:r w:rsidRPr="005B5F9B">
        <w:rPr>
          <w:bCs/>
          <w:lang w:val="en-GB"/>
        </w:rPr>
        <w:t xml:space="preserve">but no statement was ever taken from </w:t>
      </w:r>
      <w:r w:rsidR="00884C42" w:rsidRPr="005B5F9B">
        <w:rPr>
          <w:bCs/>
          <w:lang w:val="en-GB"/>
        </w:rPr>
        <w:t>any of the</w:t>
      </w:r>
      <w:r w:rsidRPr="005B5F9B">
        <w:rPr>
          <w:bCs/>
          <w:lang w:val="en-GB"/>
        </w:rPr>
        <w:t xml:space="preserve"> complainant</w:t>
      </w:r>
      <w:r w:rsidR="00F17332">
        <w:rPr>
          <w:bCs/>
          <w:lang w:val="en-GB"/>
        </w:rPr>
        <w:t>s</w:t>
      </w:r>
      <w:r w:rsidRPr="005B5F9B">
        <w:rPr>
          <w:bCs/>
          <w:lang w:val="en-GB"/>
        </w:rPr>
        <w:t>, any family member or witness</w:t>
      </w:r>
      <w:r w:rsidR="005B5F9B" w:rsidRPr="005B5F9B">
        <w:rPr>
          <w:bCs/>
          <w:lang w:val="en-GB"/>
        </w:rPr>
        <w:t xml:space="preserve"> (see § </w:t>
      </w:r>
      <w:r w:rsidR="0037719A">
        <w:fldChar w:fldCharType="begin"/>
      </w:r>
      <w:r w:rsidR="0037719A">
        <w:instrText xml:space="preserve"> REF _Ref404770144 \r \h  \* MERGEFORMAT </w:instrText>
      </w:r>
      <w:r w:rsidR="0037719A">
        <w:fldChar w:fldCharType="separate"/>
      </w:r>
      <w:r w:rsidR="00A35759" w:rsidRPr="00A35759">
        <w:rPr>
          <w:bCs/>
          <w:lang w:val="en-GB"/>
        </w:rPr>
        <w:t>219</w:t>
      </w:r>
      <w:r w:rsidR="0037719A">
        <w:fldChar w:fldCharType="end"/>
      </w:r>
      <w:r w:rsidR="005B5F9B" w:rsidRPr="005B5F9B">
        <w:rPr>
          <w:bCs/>
          <w:lang w:val="en-GB"/>
        </w:rPr>
        <w:t xml:space="preserve"> above). </w:t>
      </w:r>
      <w:r w:rsidRPr="005B5F9B">
        <w:t xml:space="preserve"> Until</w:t>
      </w:r>
      <w:r w:rsidRPr="005B5F9B">
        <w:rPr>
          <w:lang w:val="en-GB"/>
        </w:rPr>
        <w:t xml:space="preserve"> now, about 14 years after </w:t>
      </w:r>
      <w:r w:rsidR="00C13F03">
        <w:rPr>
          <w:lang w:val="en-GB"/>
        </w:rPr>
        <w:t xml:space="preserve">abduction and </w:t>
      </w:r>
      <w:r w:rsidRPr="005B5F9B">
        <w:rPr>
          <w:lang w:val="en-GB"/>
        </w:rPr>
        <w:t>disappearance</w:t>
      </w:r>
      <w:r w:rsidR="00C13F03">
        <w:rPr>
          <w:lang w:val="en-GB"/>
        </w:rPr>
        <w:t xml:space="preserve"> of </w:t>
      </w:r>
      <w:r w:rsidR="006F4C09">
        <w:t xml:space="preserve">their relatives, </w:t>
      </w:r>
      <w:r w:rsidR="00F17332" w:rsidRPr="005B5F9B">
        <w:rPr>
          <w:lang w:val="en-GB"/>
        </w:rPr>
        <w:t>the</w:t>
      </w:r>
      <w:r w:rsidR="00F17332">
        <w:rPr>
          <w:lang w:val="en-GB"/>
        </w:rPr>
        <w:t xml:space="preserve"> complainants</w:t>
      </w:r>
      <w:r w:rsidR="00F17332" w:rsidRPr="005B5F9B">
        <w:rPr>
          <w:lang w:val="en-GB"/>
        </w:rPr>
        <w:t xml:space="preserve"> </w:t>
      </w:r>
      <w:r w:rsidRPr="005B5F9B">
        <w:rPr>
          <w:lang w:val="en-GB"/>
        </w:rPr>
        <w:t xml:space="preserve">have received no information on </w:t>
      </w:r>
      <w:r w:rsidR="00C13F03">
        <w:rPr>
          <w:lang w:val="en-GB"/>
        </w:rPr>
        <w:t>their</w:t>
      </w:r>
      <w:r w:rsidRPr="005B5F9B">
        <w:rPr>
          <w:lang w:val="en-GB"/>
        </w:rPr>
        <w:t xml:space="preserve"> fate or on the status of the investigation.</w:t>
      </w:r>
    </w:p>
    <w:p w:rsidR="009B57F6" w:rsidRPr="005B5F9B" w:rsidRDefault="009B57F6" w:rsidP="009B57F6">
      <w:pPr>
        <w:pStyle w:val="ColorfulList-Accent11"/>
        <w:rPr>
          <w:bCs/>
          <w:highlight w:val="yellow"/>
          <w:lang w:val="en-GB"/>
        </w:rPr>
      </w:pPr>
    </w:p>
    <w:p w:rsidR="00D71A3A" w:rsidRPr="00EE6125" w:rsidRDefault="00D71A3A" w:rsidP="00D71A3A">
      <w:pPr>
        <w:numPr>
          <w:ilvl w:val="0"/>
          <w:numId w:val="2"/>
        </w:numPr>
        <w:tabs>
          <w:tab w:val="num" w:pos="450"/>
          <w:tab w:val="left" w:pos="709"/>
        </w:tabs>
        <w:suppressAutoHyphens/>
        <w:autoSpaceDE w:val="0"/>
        <w:ind w:left="450" w:hanging="450"/>
        <w:jc w:val="both"/>
        <w:rPr>
          <w:rStyle w:val="sb8d990e2"/>
          <w:color w:val="000000"/>
          <w:lang w:val="en-GB"/>
        </w:rPr>
      </w:pPr>
      <w:r w:rsidRPr="005B5F9B">
        <w:rPr>
          <w:lang w:val="en-GB"/>
        </w:rPr>
        <w:t>With regard to the SRSG’s comments as to the probable lack of efforts by the complainants</w:t>
      </w:r>
      <w:r>
        <w:rPr>
          <w:lang w:val="en-GB"/>
        </w:rPr>
        <w:t xml:space="preserve"> </w:t>
      </w:r>
      <w:r w:rsidRPr="00EE6125">
        <w:rPr>
          <w:color w:val="000000"/>
          <w:lang w:val="en-GB"/>
        </w:rPr>
        <w:t xml:space="preserve">to inquire with the investigative authorities regarding the fate of their relatives (see §§ </w:t>
      </w:r>
      <w:r w:rsidR="002B1686" w:rsidRPr="00EE6125">
        <w:rPr>
          <w:color w:val="000000"/>
          <w:lang w:val="en-GB"/>
        </w:rPr>
        <w:fldChar w:fldCharType="begin"/>
      </w:r>
      <w:r w:rsidR="00884C42" w:rsidRPr="00EE6125">
        <w:rPr>
          <w:color w:val="000000"/>
          <w:lang w:val="en-GB"/>
        </w:rPr>
        <w:instrText xml:space="preserve"> </w:instrText>
      </w:r>
      <w:r w:rsidR="0078377B">
        <w:rPr>
          <w:color w:val="000000"/>
          <w:lang w:val="en-GB"/>
        </w:rPr>
        <w:instrText>REF</w:instrText>
      </w:r>
      <w:r w:rsidR="00884C42" w:rsidRPr="00EE6125">
        <w:rPr>
          <w:color w:val="000000"/>
          <w:lang w:val="en-GB"/>
        </w:rPr>
        <w:instrText xml:space="preserve"> _Ref404769670 \r \h </w:instrText>
      </w:r>
      <w:r w:rsidR="002B1686" w:rsidRPr="00EE6125">
        <w:rPr>
          <w:color w:val="000000"/>
          <w:lang w:val="en-GB"/>
        </w:rPr>
      </w:r>
      <w:r w:rsidR="002B1686" w:rsidRPr="00EE6125">
        <w:rPr>
          <w:color w:val="000000"/>
          <w:lang w:val="en-GB"/>
        </w:rPr>
        <w:fldChar w:fldCharType="separate"/>
      </w:r>
      <w:r w:rsidR="00A35759">
        <w:rPr>
          <w:color w:val="000000"/>
          <w:lang w:val="en-GB"/>
        </w:rPr>
        <w:t>227</w:t>
      </w:r>
      <w:r w:rsidR="002B1686" w:rsidRPr="00EE6125">
        <w:rPr>
          <w:color w:val="000000"/>
          <w:lang w:val="en-GB"/>
        </w:rPr>
        <w:fldChar w:fldCharType="end"/>
      </w:r>
      <w:r w:rsidR="00884C42" w:rsidRPr="00EE6125">
        <w:rPr>
          <w:color w:val="000000"/>
          <w:lang w:val="en-GB"/>
        </w:rPr>
        <w:t xml:space="preserve"> - </w:t>
      </w:r>
      <w:r w:rsidR="002B1686" w:rsidRPr="00EE6125">
        <w:rPr>
          <w:color w:val="000000"/>
          <w:lang w:val="en-GB"/>
        </w:rPr>
        <w:fldChar w:fldCharType="begin"/>
      </w:r>
      <w:r w:rsidR="00884C42" w:rsidRPr="00EE6125">
        <w:rPr>
          <w:color w:val="000000"/>
          <w:lang w:val="en-GB"/>
        </w:rPr>
        <w:instrText xml:space="preserve"> </w:instrText>
      </w:r>
      <w:r w:rsidR="0078377B">
        <w:rPr>
          <w:color w:val="000000"/>
          <w:lang w:val="en-GB"/>
        </w:rPr>
        <w:instrText>REF</w:instrText>
      </w:r>
      <w:r w:rsidR="00884C42" w:rsidRPr="00EE6125">
        <w:rPr>
          <w:color w:val="000000"/>
          <w:lang w:val="en-GB"/>
        </w:rPr>
        <w:instrText xml:space="preserve"> _Ref404769672 \r \h </w:instrText>
      </w:r>
      <w:r w:rsidR="002B1686" w:rsidRPr="00EE6125">
        <w:rPr>
          <w:color w:val="000000"/>
          <w:lang w:val="en-GB"/>
        </w:rPr>
      </w:r>
      <w:r w:rsidR="002B1686" w:rsidRPr="00EE6125">
        <w:rPr>
          <w:color w:val="000000"/>
          <w:lang w:val="en-GB"/>
        </w:rPr>
        <w:fldChar w:fldCharType="separate"/>
      </w:r>
      <w:r w:rsidR="00A35759">
        <w:rPr>
          <w:color w:val="000000"/>
          <w:lang w:val="en-GB"/>
        </w:rPr>
        <w:t>228</w:t>
      </w:r>
      <w:r w:rsidR="002B1686" w:rsidRPr="00EE6125">
        <w:rPr>
          <w:color w:val="000000"/>
          <w:lang w:val="en-GB"/>
        </w:rPr>
        <w:fldChar w:fldCharType="end"/>
      </w:r>
      <w:r w:rsidR="00884C42" w:rsidRPr="00EE6125">
        <w:rPr>
          <w:color w:val="000000"/>
          <w:lang w:val="en-GB"/>
        </w:rPr>
        <w:t xml:space="preserve"> above)</w:t>
      </w:r>
      <w:r w:rsidRPr="00EE6125">
        <w:rPr>
          <w:color w:val="000000"/>
          <w:lang w:val="en-GB"/>
        </w:rPr>
        <w:t>,</w:t>
      </w:r>
      <w:r w:rsidRPr="007F4884">
        <w:rPr>
          <w:rStyle w:val="sb8d990e2"/>
        </w:rPr>
        <w:t xml:space="preserve"> Panel re</w:t>
      </w:r>
      <w:r>
        <w:rPr>
          <w:rStyle w:val="sb8d990e2"/>
        </w:rPr>
        <w:t xml:space="preserve">iterates its above expressed position that </w:t>
      </w:r>
      <w:r w:rsidRPr="007F4884">
        <w:rPr>
          <w:rStyle w:val="sb8d990e2"/>
        </w:rPr>
        <w:t xml:space="preserve">it was for </w:t>
      </w:r>
      <w:r>
        <w:rPr>
          <w:rStyle w:val="sb8d990e2"/>
        </w:rPr>
        <w:t xml:space="preserve">the </w:t>
      </w:r>
      <w:r w:rsidRPr="007F4884">
        <w:rPr>
          <w:rStyle w:val="sb8d990e2"/>
        </w:rPr>
        <w:t xml:space="preserve">UNMIK </w:t>
      </w:r>
      <w:r>
        <w:rPr>
          <w:rStyle w:val="sb8d990e2"/>
        </w:rPr>
        <w:t xml:space="preserve">authorities </w:t>
      </w:r>
      <w:r w:rsidRPr="007F4884">
        <w:rPr>
          <w:rStyle w:val="sb8d990e2"/>
        </w:rPr>
        <w:t xml:space="preserve">to reach out to them, and not </w:t>
      </w:r>
      <w:r w:rsidRPr="00D71A3A">
        <w:rPr>
          <w:rStyle w:val="sb8d990e2"/>
          <w:i/>
        </w:rPr>
        <w:t>vice versa</w:t>
      </w:r>
      <w:r>
        <w:rPr>
          <w:rStyle w:val="sb8d990e2"/>
        </w:rPr>
        <w:t xml:space="preserve"> (see § </w:t>
      </w:r>
      <w:r w:rsidR="002B1686">
        <w:rPr>
          <w:rStyle w:val="sb8d990e2"/>
        </w:rPr>
        <w:fldChar w:fldCharType="begin"/>
      </w:r>
      <w:r>
        <w:rPr>
          <w:rStyle w:val="sb8d990e2"/>
        </w:rPr>
        <w:instrText xml:space="preserve"> </w:instrText>
      </w:r>
      <w:r w:rsidR="0078377B">
        <w:rPr>
          <w:rStyle w:val="sb8d990e2"/>
        </w:rPr>
        <w:instrText>REF</w:instrText>
      </w:r>
      <w:r>
        <w:rPr>
          <w:rStyle w:val="sb8d990e2"/>
        </w:rPr>
        <w:instrText xml:space="preserve"> _Ref403677189 \r \h </w:instrText>
      </w:r>
      <w:r w:rsidR="002B1686">
        <w:rPr>
          <w:rStyle w:val="sb8d990e2"/>
        </w:rPr>
      </w:r>
      <w:r w:rsidR="002B1686">
        <w:rPr>
          <w:rStyle w:val="sb8d990e2"/>
        </w:rPr>
        <w:fldChar w:fldCharType="separate"/>
      </w:r>
      <w:r w:rsidR="00A35759">
        <w:rPr>
          <w:rStyle w:val="sb8d990e2"/>
        </w:rPr>
        <w:t>198</w:t>
      </w:r>
      <w:r w:rsidR="002B1686">
        <w:rPr>
          <w:rStyle w:val="sb8d990e2"/>
        </w:rPr>
        <w:fldChar w:fldCharType="end"/>
      </w:r>
      <w:r>
        <w:rPr>
          <w:rStyle w:val="sb8d990e2"/>
        </w:rPr>
        <w:t xml:space="preserve"> above).</w:t>
      </w:r>
    </w:p>
    <w:p w:rsidR="00D71A3A" w:rsidRPr="00EE6125" w:rsidRDefault="00D71A3A" w:rsidP="00D71A3A">
      <w:pPr>
        <w:pStyle w:val="ColorfulList-Accent11"/>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In view of the above, the Panel concludes that the complainant</w:t>
      </w:r>
      <w:r w:rsidR="0020680D" w:rsidRPr="00EE6125">
        <w:rPr>
          <w:color w:val="000000"/>
          <w:lang w:val="en-GB"/>
        </w:rPr>
        <w:t>s</w:t>
      </w:r>
      <w:r w:rsidRPr="00EE6125">
        <w:rPr>
          <w:color w:val="000000"/>
          <w:lang w:val="en-GB"/>
        </w:rPr>
        <w:t xml:space="preserve"> ha</w:t>
      </w:r>
      <w:r w:rsidR="0020680D" w:rsidRPr="00EE6125">
        <w:rPr>
          <w:color w:val="000000"/>
          <w:lang w:val="en-GB"/>
        </w:rPr>
        <w:t>ve</w:t>
      </w:r>
      <w:r w:rsidRPr="00EE6125">
        <w:rPr>
          <w:color w:val="000000"/>
          <w:lang w:val="en-GB"/>
        </w:rPr>
        <w:t xml:space="preserve"> suffered severe distress and anguish for a prolonged and continuing period of time on account of the way the authorities of UNMIK have dealt with the case</w:t>
      </w:r>
      <w:r w:rsidR="0020680D" w:rsidRPr="00EE6125">
        <w:rPr>
          <w:color w:val="000000"/>
          <w:lang w:val="en-GB"/>
        </w:rPr>
        <w:t>s</w:t>
      </w:r>
      <w:r w:rsidRPr="00EE6125">
        <w:rPr>
          <w:color w:val="000000"/>
          <w:lang w:val="en-GB"/>
        </w:rPr>
        <w:t xml:space="preserve"> and as a result of </w:t>
      </w:r>
      <w:r w:rsidR="0020680D" w:rsidRPr="00EE6125">
        <w:rPr>
          <w:color w:val="000000"/>
          <w:lang w:val="en-GB"/>
        </w:rPr>
        <w:t xml:space="preserve">their </w:t>
      </w:r>
      <w:r w:rsidRPr="00EE6125">
        <w:rPr>
          <w:color w:val="000000"/>
          <w:lang w:val="en-GB"/>
        </w:rPr>
        <w:t>inability to find</w:t>
      </w:r>
      <w:r w:rsidR="009B57F6" w:rsidRPr="00EE6125">
        <w:rPr>
          <w:color w:val="000000"/>
          <w:lang w:val="en-GB"/>
        </w:rPr>
        <w:t xml:space="preserve"> out </w:t>
      </w:r>
      <w:r w:rsidRPr="00EE6125">
        <w:rPr>
          <w:color w:val="000000"/>
          <w:lang w:val="en-GB"/>
        </w:rPr>
        <w:t xml:space="preserve">what happened to </w:t>
      </w:r>
      <w:r w:rsidR="0020680D" w:rsidRPr="00EE6125">
        <w:rPr>
          <w:color w:val="000000"/>
          <w:lang w:val="en-GB"/>
        </w:rPr>
        <w:t>their close family members</w:t>
      </w:r>
      <w:r w:rsidRPr="00EE6125">
        <w:rPr>
          <w:color w:val="000000"/>
          <w:lang w:val="en-GB"/>
        </w:rPr>
        <w:t>. In this respect, it is obvious that, in any situation, the</w:t>
      </w:r>
      <w:r w:rsidR="0020680D" w:rsidRPr="00EE6125">
        <w:rPr>
          <w:color w:val="000000"/>
          <w:lang w:val="en-GB"/>
        </w:rPr>
        <w:t>ir</w:t>
      </w:r>
      <w:r w:rsidRPr="00EE6125">
        <w:rPr>
          <w:color w:val="000000"/>
          <w:lang w:val="en-GB"/>
        </w:rPr>
        <w:t xml:space="preserve"> pain </w:t>
      </w:r>
      <w:r w:rsidR="0020680D" w:rsidRPr="00EE6125">
        <w:rPr>
          <w:color w:val="000000"/>
          <w:lang w:val="en-GB"/>
        </w:rPr>
        <w:t>that was being caused to them, a</w:t>
      </w:r>
      <w:r w:rsidRPr="00EE6125">
        <w:rPr>
          <w:color w:val="000000"/>
          <w:lang w:val="en-GB"/>
        </w:rPr>
        <w:t xml:space="preserve">s </w:t>
      </w:r>
      <w:r w:rsidR="0020680D" w:rsidRPr="00EE6125">
        <w:rPr>
          <w:color w:val="000000"/>
          <w:lang w:val="en-GB"/>
        </w:rPr>
        <w:t xml:space="preserve">they had </w:t>
      </w:r>
      <w:r w:rsidRPr="00EE6125">
        <w:rPr>
          <w:color w:val="000000"/>
          <w:lang w:val="en-GB"/>
        </w:rPr>
        <w:t xml:space="preserve">live in uncertainty about the fate of </w:t>
      </w:r>
      <w:r w:rsidR="0020680D" w:rsidRPr="00EE6125">
        <w:rPr>
          <w:color w:val="000000"/>
          <w:lang w:val="en-GB"/>
        </w:rPr>
        <w:t>their relatives,</w:t>
      </w:r>
      <w:r w:rsidRPr="00EE6125">
        <w:rPr>
          <w:color w:val="000000"/>
          <w:lang w:val="en-GB"/>
        </w:rPr>
        <w:t xml:space="preserve"> must be unbearable.</w:t>
      </w:r>
    </w:p>
    <w:p w:rsidR="00351E98" w:rsidRPr="00EE6125" w:rsidRDefault="00351E98" w:rsidP="00351E98">
      <w:pPr>
        <w:pStyle w:val="Default"/>
        <w:tabs>
          <w:tab w:val="left" w:pos="360"/>
          <w:tab w:val="left" w:pos="709"/>
        </w:tabs>
        <w:ind w:left="450" w:hanging="450"/>
        <w:jc w:val="both"/>
        <w:rPr>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For the aforementioned reasons, the Panel concludes that, by its behaviour, UNMIK contributed to the complainant</w:t>
      </w:r>
      <w:r w:rsidR="0020680D" w:rsidRPr="00EE6125">
        <w:rPr>
          <w:color w:val="000000"/>
          <w:lang w:val="en-GB"/>
        </w:rPr>
        <w:t>s</w:t>
      </w:r>
      <w:r w:rsidRPr="00EE6125">
        <w:rPr>
          <w:color w:val="000000"/>
          <w:lang w:val="en-GB"/>
        </w:rPr>
        <w:t>’ distress and mental suffering in violation of Article 3 of the ECHR.</w:t>
      </w:r>
    </w:p>
    <w:p w:rsidR="00F0555D" w:rsidRDefault="00F0555D" w:rsidP="00CC3B3D">
      <w:pPr>
        <w:pStyle w:val="Default"/>
        <w:jc w:val="both"/>
        <w:rPr>
          <w:lang w:val="en-GB"/>
        </w:rPr>
      </w:pPr>
    </w:p>
    <w:p w:rsidR="00BF7D04" w:rsidRPr="000D0C3A" w:rsidRDefault="00BF7D04" w:rsidP="00CC3B3D">
      <w:pPr>
        <w:pStyle w:val="Default"/>
        <w:jc w:val="both"/>
        <w:rPr>
          <w:lang w:val="en-GB"/>
        </w:rPr>
      </w:pPr>
    </w:p>
    <w:p w:rsidR="00642FB6" w:rsidRPr="00EE6125" w:rsidRDefault="00642FB6" w:rsidP="00642FB6">
      <w:pPr>
        <w:numPr>
          <w:ilvl w:val="0"/>
          <w:numId w:val="1"/>
        </w:numPr>
        <w:suppressAutoHyphens/>
        <w:autoSpaceDE w:val="0"/>
        <w:ind w:left="360" w:hanging="360"/>
        <w:jc w:val="both"/>
        <w:rPr>
          <w:color w:val="000000"/>
          <w:lang w:val="en-GB"/>
        </w:rPr>
      </w:pPr>
      <w:r w:rsidRPr="00EE6125">
        <w:rPr>
          <w:b/>
          <w:color w:val="000000"/>
          <w:lang w:val="en-GB"/>
        </w:rPr>
        <w:t xml:space="preserve">CONCLUDING </w:t>
      </w:r>
      <w:r w:rsidRPr="00EE6125">
        <w:rPr>
          <w:b/>
          <w:bCs/>
          <w:color w:val="000000"/>
          <w:lang w:val="en-GB"/>
        </w:rPr>
        <w:t>COMMENTS</w:t>
      </w:r>
      <w:r w:rsidRPr="00EE6125">
        <w:rPr>
          <w:b/>
          <w:color w:val="000000"/>
          <w:lang w:val="en-GB"/>
        </w:rPr>
        <w:t xml:space="preserve"> AND RECOMMENDATIONS</w:t>
      </w:r>
    </w:p>
    <w:p w:rsidR="00642FB6" w:rsidRPr="00EE6125" w:rsidRDefault="00642FB6" w:rsidP="00642FB6">
      <w:pPr>
        <w:pStyle w:val="ColorfulList-Accent11"/>
        <w:rPr>
          <w:color w:val="000000"/>
          <w:lang w:val="en-GB"/>
        </w:rPr>
      </w:pPr>
    </w:p>
    <w:p w:rsidR="00642FB6" w:rsidRPr="00EE6125" w:rsidRDefault="00642FB6" w:rsidP="00642FB6">
      <w:pPr>
        <w:numPr>
          <w:ilvl w:val="0"/>
          <w:numId w:val="2"/>
        </w:numPr>
        <w:tabs>
          <w:tab w:val="num" w:pos="450"/>
          <w:tab w:val="left" w:pos="709"/>
        </w:tabs>
        <w:suppressAutoHyphens/>
        <w:autoSpaceDE w:val="0"/>
        <w:ind w:left="450" w:hanging="450"/>
        <w:jc w:val="both"/>
        <w:rPr>
          <w:b/>
          <w:bCs/>
          <w:color w:val="000000"/>
          <w:lang w:val="en-GB"/>
        </w:rPr>
      </w:pPr>
      <w:r w:rsidRPr="00EE6125">
        <w:rPr>
          <w:color w:val="000000"/>
          <w:lang w:val="en-GB"/>
        </w:rPr>
        <w:t>In light of the Panel’s findings in this case, the Panel is of the opinion that some form of reparation is necessary.</w:t>
      </w:r>
    </w:p>
    <w:p w:rsidR="00642FB6" w:rsidRPr="00EE6125" w:rsidRDefault="00642FB6" w:rsidP="00642FB6">
      <w:pPr>
        <w:pStyle w:val="ColorfulList-Accent11"/>
        <w:tabs>
          <w:tab w:val="num" w:pos="450"/>
        </w:tabs>
        <w:ind w:left="450" w:hanging="450"/>
        <w:rPr>
          <w:color w:val="000000"/>
          <w:lang w:val="en-GB"/>
        </w:rPr>
      </w:pPr>
    </w:p>
    <w:p w:rsidR="00642FB6" w:rsidRPr="00EE6125" w:rsidRDefault="00642FB6" w:rsidP="00642FB6">
      <w:pPr>
        <w:numPr>
          <w:ilvl w:val="0"/>
          <w:numId w:val="2"/>
        </w:numPr>
        <w:tabs>
          <w:tab w:val="num" w:pos="450"/>
          <w:tab w:val="left" w:pos="709"/>
        </w:tabs>
        <w:suppressAutoHyphens/>
        <w:autoSpaceDE w:val="0"/>
        <w:ind w:left="450" w:hanging="450"/>
        <w:jc w:val="both"/>
        <w:rPr>
          <w:b/>
          <w:bCs/>
          <w:color w:val="000000"/>
          <w:lang w:val="en-GB"/>
        </w:rPr>
      </w:pPr>
      <w:r w:rsidRPr="00EE6125">
        <w:rPr>
          <w:color w:val="000000"/>
          <w:lang w:val="en-GB"/>
        </w:rPr>
        <w:t xml:space="preserve">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the abduction and disappearance of </w:t>
      </w:r>
      <w:r w:rsidRPr="00962637">
        <w:t xml:space="preserve">Mrs </w:t>
      </w:r>
      <w:proofErr w:type="spellStart"/>
      <w:r w:rsidRPr="00962637">
        <w:t>Dar</w:t>
      </w:r>
      <w:r>
        <w:t>inka</w:t>
      </w:r>
      <w:proofErr w:type="spellEnd"/>
      <w:r w:rsidRPr="00962637">
        <w:t xml:space="preserve"> </w:t>
      </w:r>
      <w:proofErr w:type="spellStart"/>
      <w:r w:rsidRPr="00962637">
        <w:t>Šutaković</w:t>
      </w:r>
      <w:proofErr w:type="spellEnd"/>
      <w:r>
        <w:t xml:space="preserve">, </w:t>
      </w:r>
      <w:r w:rsidRPr="00962637">
        <w:t xml:space="preserve">Mr </w:t>
      </w:r>
      <w:proofErr w:type="spellStart"/>
      <w:r w:rsidRPr="00962637">
        <w:t>Nedeljko</w:t>
      </w:r>
      <w:proofErr w:type="spellEnd"/>
      <w:r w:rsidRPr="00962637">
        <w:t xml:space="preserve"> </w:t>
      </w:r>
      <w:proofErr w:type="spellStart"/>
      <w:r w:rsidRPr="00962637">
        <w:t>Šutaković</w:t>
      </w:r>
      <w:proofErr w:type="spellEnd"/>
      <w:r w:rsidRPr="00962637">
        <w:t xml:space="preserve">, </w:t>
      </w:r>
      <w:r>
        <w:t xml:space="preserve">Mr </w:t>
      </w:r>
      <w:r w:rsidRPr="00962637">
        <w:t xml:space="preserve">Radovan </w:t>
      </w:r>
      <w:proofErr w:type="spellStart"/>
      <w:r w:rsidRPr="00962637">
        <w:t>Šutaković</w:t>
      </w:r>
      <w:proofErr w:type="spellEnd"/>
      <w:r>
        <w:t>,</w:t>
      </w:r>
      <w:r w:rsidRPr="00A70075">
        <w:t xml:space="preserve"> </w:t>
      </w:r>
      <w:r>
        <w:t xml:space="preserve">Mr </w:t>
      </w:r>
      <w:proofErr w:type="spellStart"/>
      <w:r w:rsidRPr="00962637">
        <w:t>Ðorđe</w:t>
      </w:r>
      <w:proofErr w:type="spellEnd"/>
      <w:r w:rsidRPr="00962637">
        <w:t xml:space="preserve"> </w:t>
      </w:r>
      <w:proofErr w:type="spellStart"/>
      <w:r w:rsidRPr="00962637">
        <w:t>Šutaković</w:t>
      </w:r>
      <w:proofErr w:type="spellEnd"/>
      <w:r>
        <w:t xml:space="preserve">, Mr </w:t>
      </w:r>
      <w:proofErr w:type="spellStart"/>
      <w:r>
        <w:t>Aleksandar</w:t>
      </w:r>
      <w:proofErr w:type="spellEnd"/>
      <w:r>
        <w:t xml:space="preserve"> </w:t>
      </w:r>
      <w:proofErr w:type="spellStart"/>
      <w:r w:rsidRPr="00F35DD1">
        <w:t>Šutaković</w:t>
      </w:r>
      <w:proofErr w:type="spellEnd"/>
      <w:r w:rsidRPr="00F35DD1">
        <w:t xml:space="preserve">, </w:t>
      </w:r>
      <w:r>
        <w:t xml:space="preserve">Mr </w:t>
      </w:r>
      <w:proofErr w:type="spellStart"/>
      <w:r>
        <w:t>Milenko</w:t>
      </w:r>
      <w:proofErr w:type="spellEnd"/>
      <w:r>
        <w:t xml:space="preserve"> </w:t>
      </w:r>
      <w:proofErr w:type="spellStart"/>
      <w:r>
        <w:t>Kabaš</w:t>
      </w:r>
      <w:proofErr w:type="spellEnd"/>
      <w:r>
        <w:t xml:space="preserve">, </w:t>
      </w:r>
      <w:r w:rsidRPr="00F35DD1">
        <w:rPr>
          <w:lang w:val="en-GB"/>
        </w:rPr>
        <w:t xml:space="preserve">Mr </w:t>
      </w:r>
      <w:proofErr w:type="spellStart"/>
      <w:r w:rsidRPr="00F35DD1">
        <w:rPr>
          <w:lang w:val="en-GB"/>
        </w:rPr>
        <w:t>Mića</w:t>
      </w:r>
      <w:proofErr w:type="spellEnd"/>
      <w:r w:rsidRPr="00F35DD1">
        <w:rPr>
          <w:lang w:val="en-GB"/>
        </w:rPr>
        <w:t xml:space="preserve"> </w:t>
      </w:r>
      <w:proofErr w:type="spellStart"/>
      <w:r w:rsidRPr="00F35DD1">
        <w:rPr>
          <w:lang w:val="en-GB"/>
        </w:rPr>
        <w:t>Petrović</w:t>
      </w:r>
      <w:proofErr w:type="spellEnd"/>
      <w:r w:rsidRPr="00F35DD1">
        <w:rPr>
          <w:lang w:val="en-GB"/>
        </w:rPr>
        <w:t xml:space="preserve"> and Mrs Radmila </w:t>
      </w:r>
      <w:proofErr w:type="spellStart"/>
      <w:r w:rsidRPr="00F35DD1">
        <w:rPr>
          <w:lang w:val="en-GB"/>
        </w:rPr>
        <w:t>Petrović</w:t>
      </w:r>
      <w:proofErr w:type="spellEnd"/>
      <w:r w:rsidRPr="00EE6125">
        <w:rPr>
          <w:color w:val="000000"/>
          <w:lang w:val="en-GB"/>
        </w:rPr>
        <w:t xml:space="preserve">, and that its failure to do so constitutes a further serious violation of the rights of the victims and their next-of-kin, in particular the right to have the truth of the matter determined. </w:t>
      </w:r>
    </w:p>
    <w:p w:rsidR="00642FB6" w:rsidRPr="00EE6125" w:rsidRDefault="00642FB6" w:rsidP="00642FB6">
      <w:pPr>
        <w:pStyle w:val="ColorfulList-Accent11"/>
        <w:tabs>
          <w:tab w:val="num" w:pos="450"/>
        </w:tabs>
        <w:ind w:left="450" w:hanging="450"/>
        <w:rPr>
          <w:color w:val="000000"/>
          <w:lang w:val="en-GB"/>
        </w:rPr>
      </w:pPr>
    </w:p>
    <w:p w:rsidR="00642FB6" w:rsidRPr="00EE6125" w:rsidRDefault="00642FB6" w:rsidP="00642FB6">
      <w:pPr>
        <w:numPr>
          <w:ilvl w:val="0"/>
          <w:numId w:val="2"/>
        </w:numPr>
        <w:tabs>
          <w:tab w:val="num" w:pos="450"/>
          <w:tab w:val="left" w:pos="709"/>
        </w:tabs>
        <w:suppressAutoHyphens/>
        <w:autoSpaceDE w:val="0"/>
        <w:ind w:left="450" w:hanging="450"/>
        <w:jc w:val="both"/>
        <w:rPr>
          <w:bCs/>
          <w:color w:val="000000"/>
          <w:lang w:val="en-GB"/>
        </w:rPr>
      </w:pPr>
      <w:r w:rsidRPr="00EE6125">
        <w:rPr>
          <w:bCs/>
          <w:color w:val="000000"/>
          <w:lang w:val="en-GB"/>
        </w:rPr>
        <w:t xml:space="preserve">The </w:t>
      </w:r>
      <w:r w:rsidRPr="00EE6125">
        <w:rPr>
          <w:color w:val="000000"/>
          <w:lang w:val="en-GB"/>
        </w:rPr>
        <w:t>Panel</w:t>
      </w:r>
      <w:r w:rsidRPr="00EE6125">
        <w:rPr>
          <w:bCs/>
          <w:color w:val="000000"/>
          <w:lang w:val="en-GB"/>
        </w:rPr>
        <w:t xml:space="preserve"> </w:t>
      </w:r>
      <w:r w:rsidRPr="00EE6125">
        <w:rPr>
          <w:color w:val="000000"/>
          <w:lang w:val="en-GB"/>
        </w:rPr>
        <w:t>notes</w:t>
      </w:r>
      <w:r w:rsidRPr="00EE6125">
        <w:rPr>
          <w:bCs/>
          <w:color w:val="000000"/>
          <w:lang w:val="en-GB"/>
        </w:rPr>
        <w:t xml:space="preserve"> the SRSG’s own concerns that the inadequate resources, especially at the outset of </w:t>
      </w:r>
      <w:r w:rsidRPr="00EE6125">
        <w:rPr>
          <w:color w:val="000000"/>
          <w:lang w:val="en-GB"/>
        </w:rPr>
        <w:t>UNMIK’s</w:t>
      </w:r>
      <w:r w:rsidRPr="00EE6125">
        <w:rPr>
          <w:bCs/>
          <w:color w:val="000000"/>
          <w:lang w:val="en-GB"/>
        </w:rPr>
        <w:t xml:space="preserve"> mission, made compliance with UNMIK’s human rights obligations difficult to achieve.</w:t>
      </w:r>
    </w:p>
    <w:p w:rsidR="00642FB6" w:rsidRPr="00EE6125" w:rsidRDefault="00642FB6" w:rsidP="00642FB6">
      <w:pPr>
        <w:pStyle w:val="ColorfulList-Accent11"/>
        <w:tabs>
          <w:tab w:val="num" w:pos="450"/>
        </w:tabs>
        <w:ind w:left="450" w:hanging="450"/>
        <w:rPr>
          <w:color w:val="000000"/>
          <w:lang w:val="en-GB"/>
        </w:rPr>
      </w:pPr>
    </w:p>
    <w:p w:rsidR="00642FB6" w:rsidRPr="00EE6125" w:rsidRDefault="00642FB6" w:rsidP="00642FB6">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It </w:t>
      </w:r>
      <w:r w:rsidRPr="00EE6125">
        <w:rPr>
          <w:bCs/>
          <w:color w:val="000000"/>
          <w:lang w:val="en-GB"/>
        </w:rPr>
        <w:t>would</w:t>
      </w:r>
      <w:r w:rsidRPr="00EE6125">
        <w:rPr>
          <w:color w:val="000000"/>
          <w:lang w:val="en-GB"/>
        </w:rPr>
        <w:t xml:space="preserve"> </w:t>
      </w:r>
      <w:r w:rsidRPr="00C5394C">
        <w:rPr>
          <w:color w:val="000000"/>
          <w:lang w:val="en-GB"/>
        </w:rPr>
        <w:t xml:space="preserve">normally be for UNMIK to take the appropriate measures in order to put an end to the violation noted and to redress as far as possible the effects thereof. However, as the Panel noted above (see § </w:t>
      </w:r>
      <w:r w:rsidR="0037719A">
        <w:fldChar w:fldCharType="begin"/>
      </w:r>
      <w:r w:rsidR="0037719A">
        <w:instrText xml:space="preserve"> REF _Ref401243163 \r \h  \* MERGEFORMAT </w:instrText>
      </w:r>
      <w:r w:rsidR="0037719A">
        <w:fldChar w:fldCharType="separate"/>
      </w:r>
      <w:r w:rsidR="00A35759" w:rsidRPr="00A35759">
        <w:rPr>
          <w:color w:val="000000"/>
          <w:lang w:val="en-GB"/>
        </w:rPr>
        <w:t>47</w:t>
      </w:r>
      <w:r w:rsidR="0037719A">
        <w:fldChar w:fldCharType="end"/>
      </w:r>
      <w:r w:rsidR="005B5F9B" w:rsidRPr="00C5394C">
        <w:rPr>
          <w:color w:val="000000"/>
          <w:lang w:val="en-GB"/>
        </w:rPr>
        <w:t xml:space="preserve"> </w:t>
      </w:r>
      <w:r w:rsidRPr="00C5394C">
        <w:rPr>
          <w:color w:val="000000"/>
          <w:lang w:val="en-GB"/>
        </w:rPr>
        <w:t>above), UNMIK’s responsibility with regard to the administration of justice in Kosovo ended on 9 December 2008. UNMIK therefore is no longer in a position to take measures that will have a direct impact</w:t>
      </w:r>
      <w:r w:rsidRPr="00EE6125">
        <w:rPr>
          <w:color w:val="000000"/>
          <w:lang w:val="en-GB"/>
        </w:rPr>
        <w:t xml:space="preserve"> on the investigations that are still pending before EULEX or local authorities. Likewise, following the unilateral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w:t>
      </w:r>
      <w:r w:rsidR="008103F1">
        <w:rPr>
          <w:color w:val="000000"/>
          <w:lang w:val="en-GB"/>
        </w:rPr>
        <w:t>s</w:t>
      </w:r>
      <w:r w:rsidRPr="00EE6125">
        <w:rPr>
          <w:color w:val="000000"/>
          <w:lang w:val="en-GB"/>
        </w:rPr>
        <w:t xml:space="preserve"> committed, as required by established principles of international </w:t>
      </w:r>
      <w:r w:rsidRPr="00EE6125">
        <w:rPr>
          <w:bCs/>
          <w:color w:val="000000"/>
          <w:lang w:val="en-GB"/>
        </w:rPr>
        <w:t>human</w:t>
      </w:r>
      <w:r w:rsidRPr="00EE6125">
        <w:rPr>
          <w:color w:val="000000"/>
          <w:lang w:val="en-GB"/>
        </w:rPr>
        <w:t xml:space="preserve"> rights law.  </w:t>
      </w:r>
    </w:p>
    <w:p w:rsidR="00642FB6" w:rsidRPr="00EE6125" w:rsidRDefault="00642FB6" w:rsidP="00642FB6">
      <w:pPr>
        <w:pStyle w:val="ColorfulList-Accent11"/>
        <w:tabs>
          <w:tab w:val="num" w:pos="450"/>
        </w:tabs>
        <w:ind w:left="450" w:hanging="450"/>
        <w:rPr>
          <w:color w:val="000000"/>
          <w:lang w:val="en-GB"/>
        </w:rPr>
      </w:pPr>
    </w:p>
    <w:p w:rsidR="00642FB6" w:rsidRPr="00EE6125" w:rsidRDefault="00642FB6" w:rsidP="00642FB6">
      <w:pPr>
        <w:numPr>
          <w:ilvl w:val="0"/>
          <w:numId w:val="2"/>
        </w:numPr>
        <w:tabs>
          <w:tab w:val="num" w:pos="450"/>
          <w:tab w:val="left" w:pos="709"/>
        </w:tabs>
        <w:suppressAutoHyphens/>
        <w:autoSpaceDE w:val="0"/>
        <w:ind w:left="450" w:hanging="450"/>
        <w:jc w:val="both"/>
        <w:rPr>
          <w:b/>
          <w:bCs/>
          <w:color w:val="000000"/>
          <w:lang w:val="en-GB"/>
        </w:rPr>
      </w:pPr>
      <w:r w:rsidRPr="00EE6125">
        <w:rPr>
          <w:color w:val="000000"/>
          <w:lang w:val="en-GB"/>
        </w:rPr>
        <w:t xml:space="preserve">The Panel considers that this </w:t>
      </w:r>
      <w:r w:rsidRPr="00EE6125">
        <w:rPr>
          <w:bCs/>
          <w:color w:val="000000"/>
          <w:lang w:val="en-GB"/>
        </w:rPr>
        <w:t>factual</w:t>
      </w:r>
      <w:r w:rsidRPr="00EE6125">
        <w:rPr>
          <w:color w:val="000000"/>
          <w:lang w:val="en-GB"/>
        </w:rPr>
        <w:t xml:space="preserve"> situation does not relieve UNMIK from its obligation to redress as far as possible the effects of the violations for which it is responsible. </w:t>
      </w:r>
    </w:p>
    <w:p w:rsidR="00642FB6" w:rsidRPr="00EE6125" w:rsidRDefault="00642FB6" w:rsidP="00642FB6">
      <w:pPr>
        <w:pStyle w:val="ColorfulList-Accent11"/>
        <w:rPr>
          <w:b/>
          <w:bCs/>
          <w:color w:val="000000"/>
          <w:lang w:val="en-GB"/>
        </w:rPr>
      </w:pPr>
    </w:p>
    <w:p w:rsidR="00642FB6" w:rsidRPr="00EE6125" w:rsidRDefault="00642FB6" w:rsidP="00642FB6">
      <w:pPr>
        <w:suppressAutoHyphens/>
        <w:autoSpaceDE w:val="0"/>
        <w:ind w:left="450"/>
        <w:jc w:val="both"/>
        <w:rPr>
          <w:b/>
          <w:bCs/>
          <w:color w:val="000000"/>
          <w:lang w:val="en-GB"/>
        </w:rPr>
      </w:pPr>
      <w:r w:rsidRPr="00EE6125">
        <w:rPr>
          <w:b/>
          <w:bCs/>
          <w:color w:val="000000"/>
          <w:lang w:val="en-GB"/>
        </w:rPr>
        <w:t>With respect to the complainant</w:t>
      </w:r>
      <w:r w:rsidR="00772F0A">
        <w:rPr>
          <w:b/>
          <w:bCs/>
          <w:color w:val="000000"/>
          <w:lang w:val="en-GB"/>
        </w:rPr>
        <w:t>s</w:t>
      </w:r>
      <w:r w:rsidRPr="00EE6125">
        <w:rPr>
          <w:b/>
          <w:bCs/>
          <w:color w:val="000000"/>
          <w:lang w:val="en-GB"/>
        </w:rPr>
        <w:t xml:space="preserve"> and the case the Panel considers appropriate that UNMIK:</w:t>
      </w:r>
    </w:p>
    <w:p w:rsidR="00642FB6" w:rsidRPr="00EE6125" w:rsidRDefault="00642FB6" w:rsidP="00642FB6">
      <w:pPr>
        <w:pStyle w:val="ColorfulList-Accent11"/>
        <w:rPr>
          <w:b/>
          <w:bCs/>
          <w:color w:val="000000"/>
          <w:lang w:val="en-GB"/>
        </w:rPr>
      </w:pPr>
    </w:p>
    <w:p w:rsidR="00642FB6" w:rsidRPr="00EE6125" w:rsidRDefault="00642FB6" w:rsidP="00642FB6">
      <w:pPr>
        <w:tabs>
          <w:tab w:val="left" w:pos="720"/>
        </w:tabs>
        <w:suppressAutoHyphens/>
        <w:autoSpaceDE w:val="0"/>
        <w:ind w:left="720" w:hanging="180"/>
        <w:jc w:val="both"/>
        <w:rPr>
          <w:b/>
          <w:bCs/>
          <w:color w:val="000000"/>
          <w:lang w:val="en-GB"/>
        </w:rPr>
      </w:pPr>
      <w:r w:rsidRPr="00EE6125">
        <w:rPr>
          <w:b/>
          <w:color w:val="000000"/>
          <w:lang w:val="en-GB"/>
        </w:rPr>
        <w:t>-</w:t>
      </w:r>
      <w:r w:rsidRPr="00EE6125">
        <w:rPr>
          <w:b/>
          <w:color w:val="000000"/>
          <w:lang w:val="en-GB"/>
        </w:rPr>
        <w:tab/>
      </w:r>
      <w:r w:rsidR="00995206">
        <w:rPr>
          <w:color w:val="000000"/>
          <w:lang w:val="en-GB"/>
        </w:rPr>
        <w:t>i</w:t>
      </w:r>
      <w:r w:rsidRPr="00EE6125">
        <w:rPr>
          <w:color w:val="000000"/>
          <w:lang w:val="en-GB"/>
        </w:rPr>
        <w:t xml:space="preserve">n line with the case law of the European Court of Human Rights on situations of limited State jurisdiction (see ECtHR [GC], </w:t>
      </w:r>
      <w:r w:rsidRPr="00EE6125">
        <w:rPr>
          <w:i/>
          <w:color w:val="000000"/>
          <w:lang w:val="en-GB"/>
        </w:rPr>
        <w:t>Ilaşcu and Others v. Moldova and Russia</w:t>
      </w:r>
      <w:r w:rsidRPr="00EE6125">
        <w:rPr>
          <w:color w:val="000000"/>
          <w:lang w:val="en-GB"/>
        </w:rPr>
        <w:t xml:space="preserve">, cited in § </w:t>
      </w:r>
      <w:r w:rsidR="0037719A">
        <w:fldChar w:fldCharType="begin"/>
      </w:r>
      <w:r w:rsidR="0037719A">
        <w:instrText xml:space="preserve"> REF _Ref401074681 \r \h  \* MERGEFORMAT </w:instrText>
      </w:r>
      <w:r w:rsidR="0037719A">
        <w:fldChar w:fldCharType="separate"/>
      </w:r>
      <w:r w:rsidR="00A35759" w:rsidRPr="00A35759">
        <w:rPr>
          <w:color w:val="000000"/>
          <w:lang w:val="en-GB"/>
        </w:rPr>
        <w:t>232</w:t>
      </w:r>
      <w:r w:rsidR="0037719A">
        <w:fldChar w:fldCharType="end"/>
      </w:r>
      <w:r w:rsidRPr="00EE6125">
        <w:rPr>
          <w:color w:val="000000"/>
          <w:lang w:val="en-GB"/>
        </w:rPr>
        <w:t xml:space="preserve"> above, at § 333; ECtHR, </w:t>
      </w:r>
      <w:r w:rsidRPr="00EE6125">
        <w:rPr>
          <w:i/>
          <w:color w:val="000000"/>
          <w:lang w:val="en-GB"/>
        </w:rPr>
        <w:t>Al-Saadoon and Mufdhi v. United Kingdom</w:t>
      </w:r>
      <w:r w:rsidRPr="00EE6125">
        <w:rPr>
          <w:color w:val="000000"/>
          <w:lang w:val="en-GB"/>
        </w:rPr>
        <w:t xml:space="preserve">, no. 61498/08, judgment of 2 March 2010, § 171; ECtHR [GC], </w:t>
      </w:r>
      <w:r w:rsidRPr="00EE6125">
        <w:rPr>
          <w:i/>
          <w:color w:val="000000"/>
          <w:lang w:val="en-GB"/>
        </w:rPr>
        <w:t>Catan and Others v. Moldova and Russia</w:t>
      </w:r>
      <w:r w:rsidRPr="00EE6125">
        <w:rPr>
          <w:color w:val="000000"/>
          <w:lang w:val="en-GB"/>
        </w:rPr>
        <w:t xml:space="preserve">, nos. 43370/04, 8252/05 and 18454/06, judgment of 19 October 2012, § 109), must endeavour, with all the means available to it </w:t>
      </w:r>
      <w:r w:rsidRPr="00EE6125">
        <w:rPr>
          <w:i/>
          <w:color w:val="000000"/>
          <w:lang w:val="en-GB"/>
        </w:rPr>
        <w:t>vis-à-vis</w:t>
      </w:r>
      <w:r w:rsidRPr="00EE6125">
        <w:rPr>
          <w:color w:val="000000"/>
          <w:lang w:val="en-GB"/>
        </w:rPr>
        <w:t xml:space="preserve"> competent authorities in Kosovo, to obtain assurances that the investigations concerning the cases at issue will be continued in compliance with the requirements of an effective investigation as envisaged by Article 2, that the circumstances surrounding </w:t>
      </w:r>
      <w:r w:rsidRPr="00EE6125">
        <w:rPr>
          <w:bCs/>
          <w:color w:val="000000"/>
          <w:lang w:val="en-GB"/>
        </w:rPr>
        <w:t xml:space="preserve">the abduction and </w:t>
      </w:r>
      <w:r w:rsidRPr="00EE6125">
        <w:rPr>
          <w:color w:val="000000"/>
          <w:lang w:val="en-GB"/>
        </w:rPr>
        <w:t xml:space="preserve">disappearance of </w:t>
      </w:r>
      <w:r w:rsidRPr="00962637">
        <w:t xml:space="preserve">Mrs </w:t>
      </w:r>
      <w:proofErr w:type="spellStart"/>
      <w:r w:rsidRPr="00962637">
        <w:t>Dar</w:t>
      </w:r>
      <w:r>
        <w:t>inka</w:t>
      </w:r>
      <w:proofErr w:type="spellEnd"/>
      <w:r w:rsidRPr="00962637">
        <w:t xml:space="preserve"> </w:t>
      </w:r>
      <w:proofErr w:type="spellStart"/>
      <w:r w:rsidRPr="00962637">
        <w:t>Šutaković</w:t>
      </w:r>
      <w:proofErr w:type="spellEnd"/>
      <w:r>
        <w:t xml:space="preserve">, </w:t>
      </w:r>
      <w:r w:rsidRPr="00962637">
        <w:t xml:space="preserve">Mr </w:t>
      </w:r>
      <w:proofErr w:type="spellStart"/>
      <w:r w:rsidRPr="00962637">
        <w:t>Nedeljko</w:t>
      </w:r>
      <w:proofErr w:type="spellEnd"/>
      <w:r w:rsidRPr="00962637">
        <w:t xml:space="preserve"> </w:t>
      </w:r>
      <w:proofErr w:type="spellStart"/>
      <w:r w:rsidRPr="00962637">
        <w:t>Šutaković</w:t>
      </w:r>
      <w:proofErr w:type="spellEnd"/>
      <w:r w:rsidRPr="00962637">
        <w:t xml:space="preserve">, </w:t>
      </w:r>
      <w:r>
        <w:t xml:space="preserve">Mr </w:t>
      </w:r>
      <w:r w:rsidRPr="00962637">
        <w:t xml:space="preserve">Radovan </w:t>
      </w:r>
      <w:proofErr w:type="spellStart"/>
      <w:r w:rsidRPr="00962637">
        <w:t>Šutaković</w:t>
      </w:r>
      <w:proofErr w:type="spellEnd"/>
      <w:r>
        <w:t>,</w:t>
      </w:r>
      <w:r w:rsidRPr="00A70075">
        <w:t xml:space="preserve"> </w:t>
      </w:r>
      <w:r>
        <w:t xml:space="preserve">Mr </w:t>
      </w:r>
      <w:proofErr w:type="spellStart"/>
      <w:r w:rsidRPr="00962637">
        <w:t>Ðorđe</w:t>
      </w:r>
      <w:proofErr w:type="spellEnd"/>
      <w:r w:rsidRPr="00962637">
        <w:t xml:space="preserve"> </w:t>
      </w:r>
      <w:proofErr w:type="spellStart"/>
      <w:r w:rsidRPr="00962637">
        <w:t>Šutaković</w:t>
      </w:r>
      <w:proofErr w:type="spellEnd"/>
      <w:r>
        <w:t xml:space="preserve">, Mr </w:t>
      </w:r>
      <w:proofErr w:type="spellStart"/>
      <w:r>
        <w:t>Aleksandar</w:t>
      </w:r>
      <w:proofErr w:type="spellEnd"/>
      <w:r>
        <w:t xml:space="preserve"> </w:t>
      </w:r>
      <w:proofErr w:type="spellStart"/>
      <w:r w:rsidRPr="00F35DD1">
        <w:t>Šutaković</w:t>
      </w:r>
      <w:proofErr w:type="spellEnd"/>
      <w:r w:rsidRPr="00F35DD1">
        <w:t xml:space="preserve">, </w:t>
      </w:r>
      <w:r>
        <w:t xml:space="preserve">Mr </w:t>
      </w:r>
      <w:proofErr w:type="spellStart"/>
      <w:r>
        <w:t>Milenko</w:t>
      </w:r>
      <w:proofErr w:type="spellEnd"/>
      <w:r>
        <w:t xml:space="preserve"> </w:t>
      </w:r>
      <w:proofErr w:type="spellStart"/>
      <w:r>
        <w:t>Kabaš</w:t>
      </w:r>
      <w:proofErr w:type="spellEnd"/>
      <w:r>
        <w:t xml:space="preserve">, </w:t>
      </w:r>
      <w:r w:rsidRPr="00F35DD1">
        <w:rPr>
          <w:lang w:val="en-GB"/>
        </w:rPr>
        <w:t xml:space="preserve">Mr </w:t>
      </w:r>
      <w:proofErr w:type="spellStart"/>
      <w:r w:rsidRPr="00F35DD1">
        <w:rPr>
          <w:lang w:val="en-GB"/>
        </w:rPr>
        <w:t>Mića</w:t>
      </w:r>
      <w:proofErr w:type="spellEnd"/>
      <w:r w:rsidRPr="00F35DD1">
        <w:rPr>
          <w:lang w:val="en-GB"/>
        </w:rPr>
        <w:t xml:space="preserve"> </w:t>
      </w:r>
      <w:proofErr w:type="spellStart"/>
      <w:r w:rsidRPr="00F35DD1">
        <w:rPr>
          <w:lang w:val="en-GB"/>
        </w:rPr>
        <w:t>Petrović</w:t>
      </w:r>
      <w:proofErr w:type="spellEnd"/>
      <w:r w:rsidRPr="00F35DD1">
        <w:rPr>
          <w:lang w:val="en-GB"/>
        </w:rPr>
        <w:t xml:space="preserve"> and Mrs Radmila </w:t>
      </w:r>
      <w:proofErr w:type="spellStart"/>
      <w:r w:rsidRPr="00F35DD1">
        <w:rPr>
          <w:lang w:val="en-GB"/>
        </w:rPr>
        <w:t>Petrović</w:t>
      </w:r>
      <w:proofErr w:type="spellEnd"/>
      <w:r w:rsidRPr="00EE6125">
        <w:rPr>
          <w:color w:val="000000"/>
          <w:lang w:val="en-GB"/>
        </w:rPr>
        <w:t xml:space="preserve"> will be established and that the possible perpetrators will be brought to justice. The complainants and/or other next-of-kin shall be informed of such proceedings and relevant documents shall be disclosed to them, as necessary;</w:t>
      </w:r>
    </w:p>
    <w:p w:rsidR="00642FB6" w:rsidRPr="00EE6125" w:rsidRDefault="00642FB6" w:rsidP="00642FB6">
      <w:pPr>
        <w:suppressAutoHyphens/>
        <w:autoSpaceDE w:val="0"/>
        <w:ind w:left="426"/>
        <w:jc w:val="both"/>
        <w:rPr>
          <w:b/>
          <w:bCs/>
          <w:color w:val="000000"/>
          <w:lang w:val="en-GB"/>
        </w:rPr>
      </w:pPr>
    </w:p>
    <w:p w:rsidR="00642FB6" w:rsidRPr="00EE6125" w:rsidRDefault="00642FB6" w:rsidP="00642FB6">
      <w:pPr>
        <w:tabs>
          <w:tab w:val="left" w:pos="720"/>
        </w:tabs>
        <w:suppressAutoHyphens/>
        <w:autoSpaceDE w:val="0"/>
        <w:ind w:left="720" w:hanging="180"/>
        <w:jc w:val="both"/>
        <w:rPr>
          <w:bCs/>
          <w:color w:val="000000"/>
          <w:lang w:val="en-GB"/>
        </w:rPr>
      </w:pPr>
      <w:r w:rsidRPr="00EE6125">
        <w:rPr>
          <w:b/>
          <w:bCs/>
          <w:color w:val="000000"/>
          <w:lang w:val="en-GB"/>
        </w:rPr>
        <w:t xml:space="preserve">- </w:t>
      </w:r>
      <w:r w:rsidR="00995206">
        <w:rPr>
          <w:bCs/>
          <w:color w:val="000000"/>
          <w:lang w:val="en-GB"/>
        </w:rPr>
        <w:t>p</w:t>
      </w:r>
      <w:r w:rsidRPr="00EE6125">
        <w:rPr>
          <w:bCs/>
          <w:color w:val="000000"/>
          <w:lang w:val="en-GB"/>
        </w:rPr>
        <w:t xml:space="preserve">ublicly </w:t>
      </w:r>
      <w:r w:rsidRPr="00EE6125">
        <w:rPr>
          <w:color w:val="000000"/>
          <w:lang w:val="en-GB"/>
        </w:rPr>
        <w:t>acknowledges</w:t>
      </w:r>
      <w:r w:rsidRPr="00EE6125">
        <w:rPr>
          <w:bCs/>
          <w:color w:val="000000"/>
          <w:lang w:val="en-GB"/>
        </w:rPr>
        <w:t xml:space="preserve">, </w:t>
      </w:r>
      <w:r w:rsidR="00164374">
        <w:rPr>
          <w:bCs/>
          <w:color w:val="000000"/>
          <w:lang w:val="en-GB"/>
        </w:rPr>
        <w:t xml:space="preserve">including through media, </w:t>
      </w:r>
      <w:r w:rsidRPr="00EE6125">
        <w:rPr>
          <w:color w:val="000000"/>
          <w:lang w:val="en-GB"/>
        </w:rPr>
        <w:t>within</w:t>
      </w:r>
      <w:r w:rsidRPr="00EE6125">
        <w:rPr>
          <w:bCs/>
          <w:color w:val="000000"/>
          <w:lang w:val="en-GB"/>
        </w:rPr>
        <w:t xml:space="preserve"> a reasonable time, responsibility with respect to UNMIK’s </w:t>
      </w:r>
      <w:r w:rsidRPr="00EE6125">
        <w:rPr>
          <w:color w:val="000000"/>
          <w:lang w:val="en-GB"/>
        </w:rPr>
        <w:t>failure</w:t>
      </w:r>
      <w:r w:rsidRPr="00EE6125">
        <w:rPr>
          <w:bCs/>
          <w:color w:val="000000"/>
          <w:lang w:val="en-GB"/>
        </w:rPr>
        <w:t xml:space="preserve"> to adequately investigate the abduction and </w:t>
      </w:r>
      <w:r w:rsidRPr="00EE6125">
        <w:rPr>
          <w:color w:val="000000"/>
          <w:lang w:val="en-GB"/>
        </w:rPr>
        <w:t xml:space="preserve">disappearance of </w:t>
      </w:r>
      <w:r w:rsidRPr="00962637">
        <w:t xml:space="preserve">Mrs </w:t>
      </w:r>
      <w:proofErr w:type="spellStart"/>
      <w:r w:rsidRPr="00962637">
        <w:t>Dar</w:t>
      </w:r>
      <w:r>
        <w:t>inka</w:t>
      </w:r>
      <w:proofErr w:type="spellEnd"/>
      <w:r w:rsidRPr="00962637">
        <w:t xml:space="preserve"> </w:t>
      </w:r>
      <w:proofErr w:type="spellStart"/>
      <w:r w:rsidRPr="00962637">
        <w:t>Šutaković</w:t>
      </w:r>
      <w:proofErr w:type="spellEnd"/>
      <w:r>
        <w:t xml:space="preserve">, </w:t>
      </w:r>
      <w:r w:rsidRPr="00962637">
        <w:t xml:space="preserve">Mr </w:t>
      </w:r>
      <w:proofErr w:type="spellStart"/>
      <w:r w:rsidRPr="00962637">
        <w:t>Nedeljko</w:t>
      </w:r>
      <w:proofErr w:type="spellEnd"/>
      <w:r w:rsidRPr="00962637">
        <w:t xml:space="preserve"> </w:t>
      </w:r>
      <w:proofErr w:type="spellStart"/>
      <w:r w:rsidRPr="00962637">
        <w:t>Šutaković</w:t>
      </w:r>
      <w:proofErr w:type="spellEnd"/>
      <w:r w:rsidRPr="00962637">
        <w:t xml:space="preserve">, </w:t>
      </w:r>
      <w:r>
        <w:t xml:space="preserve">Mr </w:t>
      </w:r>
      <w:r w:rsidRPr="00962637">
        <w:t xml:space="preserve">Radovan </w:t>
      </w:r>
      <w:proofErr w:type="spellStart"/>
      <w:r w:rsidRPr="00962637">
        <w:t>Šutaković</w:t>
      </w:r>
      <w:proofErr w:type="spellEnd"/>
      <w:r>
        <w:t>,</w:t>
      </w:r>
      <w:r w:rsidRPr="00A70075">
        <w:t xml:space="preserve"> </w:t>
      </w:r>
      <w:r>
        <w:t xml:space="preserve">Mr </w:t>
      </w:r>
      <w:proofErr w:type="spellStart"/>
      <w:r w:rsidRPr="00962637">
        <w:t>Ðorđe</w:t>
      </w:r>
      <w:proofErr w:type="spellEnd"/>
      <w:r w:rsidRPr="00962637">
        <w:t xml:space="preserve"> </w:t>
      </w:r>
      <w:proofErr w:type="spellStart"/>
      <w:r w:rsidRPr="00962637">
        <w:t>Šutaković</w:t>
      </w:r>
      <w:proofErr w:type="spellEnd"/>
      <w:r>
        <w:t xml:space="preserve">, Mr </w:t>
      </w:r>
      <w:proofErr w:type="spellStart"/>
      <w:r>
        <w:t>Aleksandar</w:t>
      </w:r>
      <w:proofErr w:type="spellEnd"/>
      <w:r>
        <w:t xml:space="preserve"> </w:t>
      </w:r>
      <w:proofErr w:type="spellStart"/>
      <w:r w:rsidRPr="00F35DD1">
        <w:t>Šutaković</w:t>
      </w:r>
      <w:proofErr w:type="spellEnd"/>
      <w:r w:rsidRPr="00F35DD1">
        <w:t xml:space="preserve">, </w:t>
      </w:r>
      <w:r>
        <w:t xml:space="preserve">Mr </w:t>
      </w:r>
      <w:proofErr w:type="spellStart"/>
      <w:r>
        <w:t>Milenko</w:t>
      </w:r>
      <w:proofErr w:type="spellEnd"/>
      <w:r>
        <w:t xml:space="preserve"> </w:t>
      </w:r>
      <w:proofErr w:type="spellStart"/>
      <w:r>
        <w:t>Kabaš</w:t>
      </w:r>
      <w:proofErr w:type="spellEnd"/>
      <w:r>
        <w:t xml:space="preserve">, </w:t>
      </w:r>
      <w:r w:rsidRPr="00F35DD1">
        <w:rPr>
          <w:lang w:val="en-GB"/>
        </w:rPr>
        <w:t xml:space="preserve">Mr </w:t>
      </w:r>
      <w:proofErr w:type="spellStart"/>
      <w:r w:rsidRPr="00F35DD1">
        <w:rPr>
          <w:lang w:val="en-GB"/>
        </w:rPr>
        <w:t>Mića</w:t>
      </w:r>
      <w:proofErr w:type="spellEnd"/>
      <w:r w:rsidRPr="00F35DD1">
        <w:rPr>
          <w:lang w:val="en-GB"/>
        </w:rPr>
        <w:t xml:space="preserve"> </w:t>
      </w:r>
      <w:proofErr w:type="spellStart"/>
      <w:r w:rsidRPr="00F35DD1">
        <w:rPr>
          <w:lang w:val="en-GB"/>
        </w:rPr>
        <w:t>Petrović</w:t>
      </w:r>
      <w:proofErr w:type="spellEnd"/>
      <w:r w:rsidRPr="00F35DD1">
        <w:rPr>
          <w:lang w:val="en-GB"/>
        </w:rPr>
        <w:t xml:space="preserve"> and Mrs Radmila </w:t>
      </w:r>
      <w:proofErr w:type="spellStart"/>
      <w:r w:rsidRPr="00F35DD1">
        <w:rPr>
          <w:lang w:val="en-GB"/>
        </w:rPr>
        <w:t>Petrović</w:t>
      </w:r>
      <w:proofErr w:type="spellEnd"/>
      <w:r w:rsidRPr="00EE6125">
        <w:rPr>
          <w:color w:val="000000"/>
          <w:lang w:val="en-GB"/>
        </w:rPr>
        <w:t xml:space="preserve">, </w:t>
      </w:r>
      <w:r w:rsidRPr="00EE6125">
        <w:rPr>
          <w:bCs/>
          <w:color w:val="000000"/>
          <w:lang w:val="en-GB"/>
        </w:rPr>
        <w:t xml:space="preserve">as </w:t>
      </w:r>
      <w:r w:rsidRPr="00EE6125">
        <w:rPr>
          <w:color w:val="000000"/>
          <w:lang w:val="en-GB"/>
        </w:rPr>
        <w:t>well</w:t>
      </w:r>
      <w:r w:rsidRPr="00EE6125">
        <w:rPr>
          <w:bCs/>
          <w:color w:val="000000"/>
          <w:lang w:val="en-GB"/>
        </w:rPr>
        <w:t xml:space="preserve"> as the distress and mental suffering subsequently incurred, and makes a public apology to the complainant</w:t>
      </w:r>
      <w:r w:rsidR="00772F0A">
        <w:rPr>
          <w:bCs/>
          <w:color w:val="000000"/>
          <w:lang w:val="en-GB"/>
        </w:rPr>
        <w:t>s and their families</w:t>
      </w:r>
      <w:r w:rsidRPr="00EE6125">
        <w:rPr>
          <w:bCs/>
          <w:color w:val="000000"/>
          <w:lang w:val="en-GB"/>
        </w:rPr>
        <w:t xml:space="preserve"> in this regard;</w:t>
      </w:r>
    </w:p>
    <w:p w:rsidR="00642FB6" w:rsidRPr="00EE6125" w:rsidRDefault="00642FB6" w:rsidP="00642FB6">
      <w:pPr>
        <w:tabs>
          <w:tab w:val="left" w:pos="900"/>
        </w:tabs>
        <w:suppressAutoHyphens/>
        <w:autoSpaceDE w:val="0"/>
        <w:ind w:left="720"/>
        <w:jc w:val="both"/>
        <w:rPr>
          <w:color w:val="000000"/>
          <w:lang w:val="en-GB"/>
        </w:rPr>
      </w:pPr>
    </w:p>
    <w:p w:rsidR="00642FB6" w:rsidRPr="00EE6125" w:rsidRDefault="00642FB6" w:rsidP="00642FB6">
      <w:pPr>
        <w:tabs>
          <w:tab w:val="left" w:pos="900"/>
        </w:tabs>
        <w:suppressAutoHyphens/>
        <w:autoSpaceDE w:val="0"/>
        <w:ind w:left="720" w:hanging="180"/>
        <w:jc w:val="both"/>
        <w:rPr>
          <w:color w:val="000000"/>
          <w:lang w:val="en-GB"/>
        </w:rPr>
      </w:pPr>
      <w:r w:rsidRPr="00EE6125">
        <w:rPr>
          <w:b/>
          <w:color w:val="000000"/>
          <w:lang w:val="en-GB"/>
        </w:rPr>
        <w:t xml:space="preserve">- </w:t>
      </w:r>
      <w:r w:rsidR="00995206">
        <w:rPr>
          <w:color w:val="000000"/>
          <w:lang w:val="en-GB"/>
        </w:rPr>
        <w:t>t</w:t>
      </w:r>
      <w:r w:rsidRPr="00EE6125">
        <w:rPr>
          <w:color w:val="000000"/>
          <w:lang w:val="en-GB"/>
        </w:rPr>
        <w:t xml:space="preserve">akes appropriate steps towards payment of adequate compensation to the complainants for the moral damage suffered due to UNMIK’s failure to conduct an effective investigation, as well as for the distress and </w:t>
      </w:r>
      <w:r w:rsidRPr="00EE6125">
        <w:rPr>
          <w:bCs/>
          <w:color w:val="000000"/>
          <w:lang w:val="en-GB"/>
        </w:rPr>
        <w:t xml:space="preserve">mental suffering </w:t>
      </w:r>
      <w:r w:rsidRPr="00EE6125">
        <w:rPr>
          <w:color w:val="000000"/>
          <w:lang w:val="en-GB"/>
        </w:rPr>
        <w:t>incurred by them as a consequence of UNMIK’s behaviour.</w:t>
      </w:r>
    </w:p>
    <w:p w:rsidR="00642FB6" w:rsidRPr="00EE6125" w:rsidRDefault="00642FB6" w:rsidP="00642FB6">
      <w:pPr>
        <w:suppressAutoHyphens/>
        <w:autoSpaceDE w:val="0"/>
        <w:ind w:left="360"/>
        <w:jc w:val="both"/>
        <w:rPr>
          <w:b/>
          <w:bCs/>
          <w:color w:val="000000"/>
          <w:lang w:val="en-GB"/>
        </w:rPr>
      </w:pPr>
    </w:p>
    <w:p w:rsidR="00642FB6" w:rsidRPr="00EE6125" w:rsidRDefault="00642FB6" w:rsidP="00642FB6">
      <w:pPr>
        <w:suppressAutoHyphens/>
        <w:autoSpaceDE w:val="0"/>
        <w:ind w:left="450"/>
        <w:jc w:val="both"/>
        <w:rPr>
          <w:b/>
          <w:bCs/>
          <w:color w:val="000000"/>
          <w:lang w:val="en-GB"/>
        </w:rPr>
      </w:pPr>
      <w:r w:rsidRPr="00EE6125">
        <w:rPr>
          <w:b/>
          <w:bCs/>
          <w:color w:val="000000"/>
          <w:lang w:val="en-GB"/>
        </w:rPr>
        <w:t>The Panel also considers appropriate that UNMIK:</w:t>
      </w:r>
    </w:p>
    <w:p w:rsidR="00642FB6" w:rsidRPr="00EE6125" w:rsidRDefault="00642FB6" w:rsidP="00642FB6">
      <w:pPr>
        <w:rPr>
          <w:color w:val="000000"/>
          <w:lang w:val="en-GB"/>
        </w:rPr>
      </w:pPr>
    </w:p>
    <w:p w:rsidR="00642FB6" w:rsidRPr="00EE6125" w:rsidRDefault="00642FB6" w:rsidP="00642FB6">
      <w:pPr>
        <w:tabs>
          <w:tab w:val="left" w:pos="720"/>
        </w:tabs>
        <w:suppressAutoHyphens/>
        <w:autoSpaceDE w:val="0"/>
        <w:ind w:left="720" w:hanging="180"/>
        <w:jc w:val="both"/>
        <w:rPr>
          <w:color w:val="000000"/>
          <w:lang w:val="en-GB"/>
        </w:rPr>
      </w:pPr>
      <w:r w:rsidRPr="00EE6125">
        <w:rPr>
          <w:b/>
          <w:bCs/>
          <w:color w:val="000000"/>
          <w:lang w:val="en-GB"/>
        </w:rPr>
        <w:t>-</w:t>
      </w:r>
      <w:r w:rsidRPr="00EE6125">
        <w:rPr>
          <w:bCs/>
          <w:color w:val="000000"/>
          <w:lang w:val="en-GB"/>
        </w:rPr>
        <w:t xml:space="preserve"> In line </w:t>
      </w:r>
      <w:r w:rsidRPr="00EE6125">
        <w:rPr>
          <w:color w:val="000000"/>
          <w:lang w:val="en-GB"/>
        </w:rPr>
        <w:t>with</w:t>
      </w:r>
      <w:r w:rsidRPr="00EE6125">
        <w:rPr>
          <w:bCs/>
          <w:color w:val="000000"/>
          <w:lang w:val="en-GB"/>
        </w:rPr>
        <w:t xml:space="preserve"> the UN </w:t>
      </w:r>
      <w:r w:rsidRPr="00EE6125">
        <w:rPr>
          <w:color w:val="000000"/>
          <w:lang w:val="en-GB"/>
        </w:rPr>
        <w:t>General</w:t>
      </w:r>
      <w:r w:rsidRPr="00EE6125">
        <w:rPr>
          <w:bCs/>
          <w:color w:val="000000"/>
          <w:lang w:val="en-GB"/>
        </w:rPr>
        <w:t xml:space="preserve"> Assembly Resolution on “Basic Principles and </w:t>
      </w:r>
      <w:r w:rsidRPr="00EE6125">
        <w:rPr>
          <w:color w:val="000000"/>
          <w:lang w:val="en-GB"/>
        </w:rPr>
        <w:t>Guidelines</w:t>
      </w:r>
      <w:r w:rsidRPr="00EE6125">
        <w:rPr>
          <w:bCs/>
          <w:color w:val="000000"/>
          <w:lang w:val="en-GB"/>
        </w:rPr>
        <w:t xml:space="preserve"> on the Right to a Remedy and Reparation for Victims of Gross Violations of International Human Rights Law and Serious Violations of International Humanitarian Law” (A/Res/60/147, 21 March 2006), takes </w:t>
      </w:r>
      <w:r w:rsidRPr="00EE6125">
        <w:rPr>
          <w:color w:val="000000"/>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642FB6" w:rsidRPr="00EE6125" w:rsidRDefault="00642FB6" w:rsidP="00642FB6">
      <w:pPr>
        <w:tabs>
          <w:tab w:val="left" w:pos="900"/>
        </w:tabs>
        <w:suppressAutoHyphens/>
        <w:autoSpaceDE w:val="0"/>
        <w:ind w:left="720"/>
        <w:jc w:val="both"/>
        <w:rPr>
          <w:color w:val="000000"/>
          <w:lang w:val="en-GB"/>
        </w:rPr>
      </w:pPr>
    </w:p>
    <w:p w:rsidR="00642FB6" w:rsidRPr="00EE6125" w:rsidRDefault="00642FB6" w:rsidP="00642FB6">
      <w:pPr>
        <w:tabs>
          <w:tab w:val="left" w:pos="900"/>
        </w:tabs>
        <w:suppressAutoHyphens/>
        <w:autoSpaceDE w:val="0"/>
        <w:ind w:left="720" w:hanging="180"/>
        <w:jc w:val="both"/>
        <w:rPr>
          <w:color w:val="000000"/>
          <w:lang w:val="en-GB"/>
        </w:rPr>
      </w:pPr>
      <w:r w:rsidRPr="00EE6125">
        <w:rPr>
          <w:b/>
          <w:color w:val="000000"/>
          <w:lang w:val="en-GB"/>
        </w:rPr>
        <w:t>-</w:t>
      </w:r>
      <w:r w:rsidRPr="00EE6125">
        <w:rPr>
          <w:color w:val="000000"/>
          <w:lang w:val="en-GB"/>
        </w:rPr>
        <w:t xml:space="preserve"> 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191D9F">
        <w:rPr>
          <w:color w:val="000000"/>
          <w:lang w:val="en-GB"/>
        </w:rPr>
        <w:t>tive and independent monitoring.</w:t>
      </w:r>
    </w:p>
    <w:p w:rsidR="00642FB6" w:rsidRPr="00EE6125" w:rsidRDefault="00642FB6" w:rsidP="00642FB6">
      <w:pPr>
        <w:rPr>
          <w:color w:val="000000"/>
          <w:lang w:val="en-GB"/>
        </w:rPr>
      </w:pPr>
    </w:p>
    <w:p w:rsidR="00642FB6" w:rsidRPr="00EE6125" w:rsidRDefault="00642FB6" w:rsidP="00642FB6">
      <w:pPr>
        <w:rPr>
          <w:color w:val="000000"/>
          <w:lang w:val="en-GB"/>
        </w:rPr>
      </w:pPr>
    </w:p>
    <w:p w:rsidR="00642FB6" w:rsidRPr="00EE6125" w:rsidRDefault="00642FB6" w:rsidP="00642FB6">
      <w:pPr>
        <w:rPr>
          <w:color w:val="000000"/>
          <w:lang w:val="en-GB"/>
        </w:rPr>
      </w:pPr>
    </w:p>
    <w:p w:rsidR="00642FB6" w:rsidRPr="00EE6125" w:rsidRDefault="00642FB6" w:rsidP="00642FB6">
      <w:pPr>
        <w:rPr>
          <w:color w:val="000000"/>
          <w:lang w:val="en-GB"/>
        </w:rPr>
      </w:pPr>
    </w:p>
    <w:p w:rsidR="00642FB6" w:rsidRPr="00EE6125" w:rsidRDefault="00642FB6" w:rsidP="00642FB6">
      <w:pPr>
        <w:pStyle w:val="Normal1"/>
        <w:spacing w:before="0" w:beforeAutospacing="0" w:after="0" w:afterAutospacing="0"/>
        <w:jc w:val="both"/>
        <w:rPr>
          <w:b/>
          <w:color w:val="000000"/>
          <w:lang w:val="en-GB"/>
        </w:rPr>
      </w:pPr>
      <w:r w:rsidRPr="00EE6125">
        <w:rPr>
          <w:b/>
          <w:color w:val="000000"/>
          <w:lang w:val="en-GB"/>
        </w:rPr>
        <w:t>FOR THESE REASONS,</w:t>
      </w:r>
    </w:p>
    <w:p w:rsidR="00642FB6" w:rsidRPr="00EE6125" w:rsidRDefault="00642FB6" w:rsidP="00642FB6">
      <w:pPr>
        <w:pStyle w:val="Normal1"/>
        <w:spacing w:before="0" w:beforeAutospacing="0" w:after="0" w:afterAutospacing="0"/>
        <w:jc w:val="both"/>
        <w:rPr>
          <w:b/>
          <w:color w:val="000000"/>
          <w:lang w:val="en-GB"/>
        </w:rPr>
      </w:pPr>
    </w:p>
    <w:p w:rsidR="00642FB6" w:rsidRPr="00EE6125" w:rsidRDefault="00642FB6" w:rsidP="00642FB6">
      <w:pPr>
        <w:autoSpaceDE w:val="0"/>
        <w:autoSpaceDN w:val="0"/>
        <w:adjustRightInd w:val="0"/>
        <w:jc w:val="both"/>
        <w:rPr>
          <w:color w:val="000000"/>
          <w:lang w:val="en-GB"/>
        </w:rPr>
      </w:pPr>
      <w:r w:rsidRPr="00EE6125">
        <w:rPr>
          <w:color w:val="000000"/>
          <w:lang w:val="en-GB"/>
        </w:rPr>
        <w:t>The Panel, unanimously,</w:t>
      </w:r>
    </w:p>
    <w:p w:rsidR="00642FB6" w:rsidRPr="00EE6125" w:rsidRDefault="00642FB6" w:rsidP="00642FB6">
      <w:pPr>
        <w:autoSpaceDE w:val="0"/>
        <w:autoSpaceDN w:val="0"/>
        <w:adjustRightInd w:val="0"/>
        <w:jc w:val="both"/>
        <w:rPr>
          <w:color w:val="000000"/>
          <w:lang w:val="en-GB"/>
        </w:rPr>
      </w:pPr>
    </w:p>
    <w:p w:rsidR="00642FB6" w:rsidRPr="00EE6125" w:rsidRDefault="00642FB6" w:rsidP="00642FB6">
      <w:pPr>
        <w:autoSpaceDE w:val="0"/>
        <w:autoSpaceDN w:val="0"/>
        <w:adjustRightInd w:val="0"/>
        <w:jc w:val="both"/>
        <w:rPr>
          <w:color w:val="000000"/>
          <w:lang w:val="en-GB"/>
        </w:rPr>
      </w:pPr>
    </w:p>
    <w:p w:rsidR="00642FB6" w:rsidRPr="00EE6125" w:rsidRDefault="00642FB6" w:rsidP="00642FB6">
      <w:pPr>
        <w:pStyle w:val="JuList"/>
        <w:numPr>
          <w:ilvl w:val="0"/>
          <w:numId w:val="10"/>
        </w:numPr>
        <w:tabs>
          <w:tab w:val="clear" w:pos="567"/>
          <w:tab w:val="num" w:pos="-142"/>
        </w:tabs>
        <w:ind w:left="284" w:hanging="284"/>
        <w:rPr>
          <w:b/>
          <w:color w:val="000000"/>
        </w:rPr>
      </w:pPr>
      <w:r w:rsidRPr="00EE6125">
        <w:rPr>
          <w:b/>
          <w:color w:val="000000"/>
        </w:rPr>
        <w:t>FINDS THAT THERE HAS BEEN A VIOLATION OF THE PROCEDURAL OBLIGATION UNDER ARTICLE 2 OF THE EUROPEAN CONVENTION ON HUMAN RIGHTS;</w:t>
      </w:r>
    </w:p>
    <w:p w:rsidR="00642FB6" w:rsidRPr="00EE6125" w:rsidRDefault="00642FB6" w:rsidP="00642FB6">
      <w:pPr>
        <w:pStyle w:val="JuList"/>
        <w:ind w:left="0" w:firstLine="0"/>
        <w:rPr>
          <w:b/>
          <w:color w:val="000000"/>
        </w:rPr>
      </w:pPr>
    </w:p>
    <w:p w:rsidR="00642FB6" w:rsidRPr="00EE6125" w:rsidRDefault="00642FB6" w:rsidP="00642FB6">
      <w:pPr>
        <w:pStyle w:val="JuList"/>
        <w:numPr>
          <w:ilvl w:val="0"/>
          <w:numId w:val="10"/>
        </w:numPr>
        <w:tabs>
          <w:tab w:val="clear" w:pos="567"/>
          <w:tab w:val="num" w:pos="-142"/>
        </w:tabs>
        <w:ind w:left="284" w:hanging="284"/>
        <w:rPr>
          <w:b/>
          <w:color w:val="000000"/>
        </w:rPr>
      </w:pPr>
      <w:r w:rsidRPr="00EE6125">
        <w:rPr>
          <w:b/>
          <w:color w:val="000000"/>
        </w:rPr>
        <w:lastRenderedPageBreak/>
        <w:t>FINDS THAT THERE HAS BEEN A VIOLATION OF THE SUBSTANTIVE OBLIGATION UNDER ARTICLE 3 OF THE EUROPEAN CONVENTION ON HUMAN RIGHTS;</w:t>
      </w:r>
    </w:p>
    <w:p w:rsidR="00642FB6" w:rsidRPr="00EE6125" w:rsidRDefault="00642FB6" w:rsidP="00642FB6">
      <w:pPr>
        <w:pStyle w:val="JuList"/>
        <w:ind w:left="0" w:firstLine="0"/>
        <w:rPr>
          <w:b/>
          <w:color w:val="000000"/>
        </w:rPr>
      </w:pPr>
    </w:p>
    <w:p w:rsidR="00642FB6" w:rsidRPr="00EE6125" w:rsidRDefault="00642FB6" w:rsidP="00642FB6">
      <w:pPr>
        <w:pStyle w:val="JuList"/>
        <w:numPr>
          <w:ilvl w:val="0"/>
          <w:numId w:val="10"/>
        </w:numPr>
        <w:tabs>
          <w:tab w:val="clear" w:pos="567"/>
          <w:tab w:val="num" w:pos="-142"/>
        </w:tabs>
        <w:ind w:left="284" w:hanging="284"/>
        <w:rPr>
          <w:b/>
          <w:color w:val="000000"/>
        </w:rPr>
      </w:pPr>
      <w:r w:rsidRPr="00EE6125">
        <w:rPr>
          <w:b/>
          <w:color w:val="000000"/>
        </w:rPr>
        <w:t>RECOMMENDS</w:t>
      </w:r>
      <w:r w:rsidRPr="00EE6125">
        <w:rPr>
          <w:b/>
          <w:bCs/>
          <w:color w:val="000000"/>
          <w:lang w:eastAsia="en-US"/>
        </w:rPr>
        <w:t xml:space="preserve"> THAT UNMIK:</w:t>
      </w:r>
    </w:p>
    <w:p w:rsidR="00642FB6" w:rsidRPr="00EE6125" w:rsidRDefault="00642FB6" w:rsidP="00642FB6">
      <w:pPr>
        <w:pStyle w:val="JuList"/>
        <w:ind w:left="0" w:firstLine="0"/>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 xml:space="preserve">URGES THE COMPETENT AUTHORITIES IN KOSOVO TO TAKE ALL POSSIBLE STEPS IN ORDER TO ENSURE THAT THE CRIMINAL INVESTIGATION INTO </w:t>
      </w:r>
      <w:r w:rsidRPr="00EE6125">
        <w:rPr>
          <w:b/>
          <w:bCs/>
          <w:color w:val="000000"/>
        </w:rPr>
        <w:t xml:space="preserve">THE ABDUCTION AND </w:t>
      </w:r>
      <w:r w:rsidRPr="00EE6125">
        <w:rPr>
          <w:b/>
          <w:color w:val="000000"/>
        </w:rPr>
        <w:t xml:space="preserve">DISAPPEARANCE OF </w:t>
      </w:r>
      <w:r w:rsidRPr="00642FB6">
        <w:rPr>
          <w:b/>
        </w:rPr>
        <w:t>MRS DARINKA ŠUTAKOVIĆ, MR NEDELJKO ŠUTAKOVIĆ, MR RADOVAN ŠUTAKOVIĆ, MR ÐORĐE ŠUTAKOVIĆ, MR ALEKSANDAR ŠUTAKOVIĆ, MR MILENKO KABAŠ, MR MIĆA PETROVIĆ AND MRS RADMILA PETROVIĆ</w:t>
      </w:r>
      <w:r w:rsidRPr="00EE6125">
        <w:rPr>
          <w:b/>
          <w:bCs/>
          <w:color w:val="000000"/>
        </w:rPr>
        <w:t xml:space="preserve">, </w:t>
      </w:r>
      <w:r w:rsidRPr="00EE6125">
        <w:rPr>
          <w:b/>
          <w:color w:val="000000"/>
        </w:rPr>
        <w:t>IS</w:t>
      </w:r>
      <w:r w:rsidRPr="00EE6125">
        <w:rPr>
          <w:b/>
          <w:bCs/>
          <w:color w:val="000000"/>
          <w:lang w:eastAsia="en-US"/>
        </w:rPr>
        <w:t xml:space="preserve"> CONTINUED IN COMPLIANCE WITH ARTICLE 2 OF THE ECHR AND THAT THE PERPETRATORS ARE BROUGHT TO JUSTICE;</w:t>
      </w:r>
    </w:p>
    <w:p w:rsidR="00642FB6" w:rsidRPr="00EE6125" w:rsidRDefault="00642FB6" w:rsidP="00642FB6">
      <w:pPr>
        <w:pStyle w:val="JuList"/>
        <w:ind w:left="426" w:hanging="283"/>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 xml:space="preserve">PUBLICLY </w:t>
      </w:r>
      <w:r w:rsidRPr="00164374">
        <w:rPr>
          <w:b/>
          <w:bCs/>
          <w:caps/>
          <w:color w:val="000000"/>
          <w:lang w:eastAsia="en-US"/>
        </w:rPr>
        <w:t>ACKNOWLEDGES</w:t>
      </w:r>
      <w:r w:rsidR="00164374" w:rsidRPr="00164374">
        <w:rPr>
          <w:b/>
          <w:bCs/>
          <w:caps/>
          <w:color w:val="000000"/>
          <w:lang w:eastAsia="en-US"/>
        </w:rPr>
        <w:t>, including through media,</w:t>
      </w:r>
      <w:r w:rsidRPr="00164374">
        <w:rPr>
          <w:b/>
          <w:bCs/>
          <w:caps/>
          <w:color w:val="000000"/>
          <w:lang w:eastAsia="en-US"/>
        </w:rPr>
        <w:t xml:space="preserve"> RESPONSIBILITY</w:t>
      </w:r>
      <w:r w:rsidRPr="00EE6125">
        <w:rPr>
          <w:b/>
          <w:bCs/>
          <w:color w:val="000000"/>
          <w:lang w:eastAsia="en-US"/>
        </w:rPr>
        <w:t xml:space="preserve"> FOR ITS FAILURE TO CONDUCT AN EFFECTIVE INVESTIGATION INTO </w:t>
      </w:r>
      <w:r w:rsidRPr="00EE6125">
        <w:rPr>
          <w:b/>
          <w:bCs/>
          <w:color w:val="000000"/>
        </w:rPr>
        <w:t xml:space="preserve">THE ABDUCTION AND </w:t>
      </w:r>
      <w:r w:rsidRPr="00EE6125">
        <w:rPr>
          <w:b/>
          <w:color w:val="000000"/>
        </w:rPr>
        <w:t xml:space="preserve">DISAPPEARANCE OF </w:t>
      </w:r>
      <w:r w:rsidRPr="00642FB6">
        <w:rPr>
          <w:b/>
        </w:rPr>
        <w:t>MRS DARINKA ŠUTAKOVIĆ, MR NEDELJKO ŠUTAKOVIĆ, MR RADOVAN ŠUTAKOVIĆ, MR ÐORĐE ŠUTAKOVIĆ, MR ALEKSANDAR ŠUTAKOVIĆ, MR MILENKO KABAŠ, MR MIĆA PETROVIĆ AND MRS RADMILA PETROVIĆ</w:t>
      </w:r>
      <w:r w:rsidRPr="00EE6125">
        <w:rPr>
          <w:b/>
          <w:bCs/>
          <w:color w:val="000000"/>
          <w:lang w:eastAsia="en-US"/>
        </w:rPr>
        <w:t>, AS WELL AS FOR DISTRESS AND MENTAL SUFFERING INCURRED, AND MAKES A PUBLIC APOLOGY TO THE COMPLAINANTS AND THEIR FAMILY;</w:t>
      </w:r>
    </w:p>
    <w:p w:rsidR="00642FB6" w:rsidRPr="00EE6125" w:rsidRDefault="00642FB6" w:rsidP="00642FB6">
      <w:pPr>
        <w:pStyle w:val="JuList"/>
        <w:ind w:left="426" w:hanging="283"/>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TAKES APPROPRIATE STEPS TOWARDS PAYMENT OF ADEQUATE COMPENSATION TO THE COMPLAINANT FOR MORAL DAMAGE IN RELATION TO THE FINDING OF VIOLATIONS OF ARTICLE 2 AND ARTICLE 3 OF THE ECHR;</w:t>
      </w:r>
    </w:p>
    <w:p w:rsidR="00642FB6" w:rsidRPr="00EE6125" w:rsidRDefault="00642FB6" w:rsidP="00642FB6">
      <w:pPr>
        <w:pStyle w:val="JuList"/>
        <w:ind w:left="426" w:hanging="283"/>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TAKES APPROPRIATE STEPS TOWARDS THE REALISATION OF A FULL AND COMPREHENSIVE REPARATION PROGRAMME;</w:t>
      </w:r>
    </w:p>
    <w:p w:rsidR="00642FB6" w:rsidRPr="00EE6125" w:rsidRDefault="00642FB6" w:rsidP="00642FB6">
      <w:pPr>
        <w:pStyle w:val="JuList"/>
        <w:ind w:left="426" w:hanging="283"/>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TAKES APPROPRIATE STEPS AT THE UNITED NATIONS AS A GUARANTEE OF NON REPETITION;</w:t>
      </w:r>
    </w:p>
    <w:p w:rsidR="00642FB6" w:rsidRPr="00EE6125" w:rsidRDefault="00642FB6" w:rsidP="00642FB6">
      <w:pPr>
        <w:pStyle w:val="JuList"/>
        <w:ind w:left="426" w:hanging="283"/>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TAKES IMMEDIATE AND EFFECTIVE MEASURES TO IMPLEMENT THE RECOMMENDATIONS OF THE PANEL AND TO INFORM THE COMPLAINANT</w:t>
      </w:r>
      <w:r w:rsidR="000B1FE4" w:rsidRPr="00EE6125">
        <w:rPr>
          <w:b/>
          <w:bCs/>
          <w:color w:val="000000"/>
          <w:lang w:eastAsia="en-US"/>
        </w:rPr>
        <w:t>S</w:t>
      </w:r>
      <w:r w:rsidRPr="00EE6125">
        <w:rPr>
          <w:b/>
          <w:bCs/>
          <w:color w:val="000000"/>
          <w:lang w:eastAsia="en-US"/>
        </w:rPr>
        <w:t xml:space="preserve"> AND THE PANEL ABOUT FURTHER DEVELOPMENTS IN THIS CASE.</w:t>
      </w:r>
    </w:p>
    <w:p w:rsidR="00642FB6" w:rsidRDefault="00642FB6" w:rsidP="00642FB6">
      <w:pPr>
        <w:autoSpaceDE w:val="0"/>
        <w:autoSpaceDN w:val="0"/>
        <w:adjustRightInd w:val="0"/>
        <w:jc w:val="both"/>
        <w:rPr>
          <w:b/>
          <w:bCs/>
          <w:lang w:val="en-GB"/>
        </w:rPr>
      </w:pPr>
    </w:p>
    <w:p w:rsidR="00E025EE" w:rsidRPr="007A2DAB" w:rsidRDefault="00E025EE" w:rsidP="00642FB6">
      <w:pPr>
        <w:autoSpaceDE w:val="0"/>
        <w:autoSpaceDN w:val="0"/>
        <w:adjustRightInd w:val="0"/>
        <w:jc w:val="both"/>
        <w:rPr>
          <w:b/>
          <w:bCs/>
          <w:lang w:val="en-GB"/>
        </w:rPr>
      </w:pPr>
    </w:p>
    <w:p w:rsidR="00642FB6" w:rsidRPr="007A2DAB" w:rsidRDefault="00642FB6" w:rsidP="00642FB6">
      <w:pPr>
        <w:autoSpaceDE w:val="0"/>
        <w:autoSpaceDN w:val="0"/>
        <w:adjustRightInd w:val="0"/>
        <w:jc w:val="both"/>
        <w:rPr>
          <w:lang w:val="en-GB"/>
        </w:rPr>
      </w:pPr>
    </w:p>
    <w:p w:rsidR="00642FB6" w:rsidRPr="007A2DAB" w:rsidRDefault="00642FB6" w:rsidP="00642FB6">
      <w:pPr>
        <w:autoSpaceDE w:val="0"/>
        <w:autoSpaceDN w:val="0"/>
        <w:adjustRightInd w:val="0"/>
        <w:ind w:left="360"/>
        <w:jc w:val="both"/>
        <w:rPr>
          <w:lang w:val="en-GB"/>
        </w:rPr>
      </w:pPr>
      <w:r w:rsidRPr="007A2DAB">
        <w:rPr>
          <w:lang w:val="en-GB"/>
        </w:rPr>
        <w:t>Andrey A</w:t>
      </w:r>
      <w:r>
        <w:rPr>
          <w:lang w:val="en-GB"/>
        </w:rPr>
        <w:t>ntonov</w:t>
      </w:r>
      <w:r w:rsidRPr="007A2DAB">
        <w:rPr>
          <w:lang w:val="en-GB"/>
        </w:rPr>
        <w:tab/>
      </w:r>
      <w:r w:rsidRPr="007A2DAB">
        <w:rPr>
          <w:lang w:val="en-GB"/>
        </w:rPr>
        <w:tab/>
      </w:r>
      <w:r w:rsidRPr="007A2DAB">
        <w:rPr>
          <w:lang w:val="en-GB"/>
        </w:rPr>
        <w:tab/>
      </w:r>
      <w:r w:rsidRPr="007A2DAB">
        <w:rPr>
          <w:lang w:val="en-GB"/>
        </w:rPr>
        <w:tab/>
      </w:r>
      <w:r w:rsidRPr="007A2DAB">
        <w:rPr>
          <w:lang w:val="en-GB"/>
        </w:rPr>
        <w:tab/>
      </w:r>
      <w:r w:rsidRPr="007A2DAB">
        <w:rPr>
          <w:lang w:val="en-GB"/>
        </w:rPr>
        <w:tab/>
      </w:r>
      <w:r w:rsidRPr="007A2DAB">
        <w:rPr>
          <w:lang w:val="en-GB"/>
        </w:rPr>
        <w:tab/>
      </w:r>
      <w:r>
        <w:rPr>
          <w:lang w:val="en-GB"/>
        </w:rPr>
        <w:tab/>
      </w:r>
      <w:r w:rsidRPr="007A2DAB">
        <w:rPr>
          <w:lang w:val="en-GB"/>
        </w:rPr>
        <w:t>Marek N</w:t>
      </w:r>
      <w:r>
        <w:rPr>
          <w:lang w:val="en-GB"/>
        </w:rPr>
        <w:t>owicki</w:t>
      </w:r>
    </w:p>
    <w:p w:rsidR="00642FB6" w:rsidRPr="007A2DAB" w:rsidRDefault="00642FB6" w:rsidP="00E025EE">
      <w:pPr>
        <w:autoSpaceDE w:val="0"/>
        <w:autoSpaceDN w:val="0"/>
        <w:adjustRightInd w:val="0"/>
        <w:ind w:firstLine="360"/>
        <w:jc w:val="both"/>
        <w:rPr>
          <w:lang w:val="en-GB"/>
        </w:rPr>
      </w:pPr>
      <w:r w:rsidRPr="007A2DAB">
        <w:rPr>
          <w:lang w:val="en-GB"/>
        </w:rPr>
        <w:t xml:space="preserve">Executive Officer </w:t>
      </w:r>
      <w:r w:rsidRPr="007A2DAB">
        <w:rPr>
          <w:lang w:val="en-GB"/>
        </w:rPr>
        <w:tab/>
      </w:r>
      <w:r w:rsidRPr="007A2DAB">
        <w:rPr>
          <w:lang w:val="en-GB"/>
        </w:rPr>
        <w:tab/>
      </w:r>
      <w:r w:rsidRPr="007A2DAB">
        <w:rPr>
          <w:lang w:val="en-GB"/>
        </w:rPr>
        <w:tab/>
      </w:r>
      <w:r w:rsidRPr="007A2DAB">
        <w:rPr>
          <w:lang w:val="en-GB"/>
        </w:rPr>
        <w:tab/>
      </w:r>
      <w:r w:rsidR="00201BF2">
        <w:rPr>
          <w:lang w:val="en-GB"/>
        </w:rPr>
        <w:tab/>
      </w:r>
      <w:r w:rsidRPr="007A2DAB">
        <w:rPr>
          <w:lang w:val="en-GB"/>
        </w:rPr>
        <w:tab/>
      </w:r>
      <w:r w:rsidRPr="007A2DAB">
        <w:rPr>
          <w:lang w:val="en-GB"/>
        </w:rPr>
        <w:tab/>
      </w:r>
      <w:r w:rsidRPr="007A2DAB">
        <w:rPr>
          <w:lang w:val="en-GB"/>
        </w:rPr>
        <w:tab/>
        <w:t>Presiding Member</w:t>
      </w:r>
    </w:p>
    <w:p w:rsidR="00642FB6" w:rsidRPr="007A2DAB" w:rsidRDefault="00642FB6" w:rsidP="00642FB6">
      <w:pPr>
        <w:rPr>
          <w:lang w:val="en-GB"/>
        </w:rPr>
      </w:pPr>
      <w:r w:rsidRPr="007A2DAB">
        <w:rPr>
          <w:lang w:val="en-GB"/>
        </w:rPr>
        <w:br w:type="page"/>
      </w:r>
    </w:p>
    <w:p w:rsidR="00BA3897" w:rsidRPr="000D0C3A" w:rsidRDefault="00BA3897" w:rsidP="00BA3897">
      <w:pPr>
        <w:jc w:val="right"/>
        <w:rPr>
          <w:b/>
          <w:lang w:val="en-GB"/>
        </w:rPr>
      </w:pPr>
      <w:r w:rsidRPr="000D0C3A">
        <w:rPr>
          <w:i/>
          <w:lang w:val="en-GB"/>
        </w:rPr>
        <w:lastRenderedPageBreak/>
        <w:t>Annex</w:t>
      </w:r>
    </w:p>
    <w:p w:rsidR="00765B0C" w:rsidRPr="000D0C3A" w:rsidRDefault="00765B0C" w:rsidP="00A23F51">
      <w:pPr>
        <w:rPr>
          <w:b/>
          <w:lang w:val="en-GB"/>
        </w:rPr>
      </w:pPr>
    </w:p>
    <w:p w:rsidR="00A23F51" w:rsidRPr="000D0C3A" w:rsidRDefault="00A23F51" w:rsidP="00C42D5A">
      <w:pPr>
        <w:jc w:val="center"/>
        <w:rPr>
          <w:lang w:val="en-GB"/>
        </w:rPr>
      </w:pPr>
      <w:r w:rsidRPr="000D0C3A">
        <w:rPr>
          <w:b/>
          <w:lang w:val="en-GB"/>
        </w:rPr>
        <w:t>ABBREVIATIONS AND ACRONYMS</w:t>
      </w:r>
    </w:p>
    <w:p w:rsidR="00A23F51" w:rsidRPr="000D0C3A" w:rsidRDefault="00A23F51" w:rsidP="00A23F51">
      <w:pPr>
        <w:autoSpaceDE w:val="0"/>
        <w:jc w:val="both"/>
        <w:rPr>
          <w:lang w:val="en-GB"/>
        </w:rPr>
      </w:pPr>
    </w:p>
    <w:p w:rsidR="00A23F51" w:rsidRPr="000D0C3A" w:rsidRDefault="00A23F51" w:rsidP="00A23F51">
      <w:pPr>
        <w:autoSpaceDE w:val="0"/>
        <w:jc w:val="both"/>
        <w:rPr>
          <w:lang w:val="en-GB"/>
        </w:rPr>
      </w:pPr>
    </w:p>
    <w:p w:rsidR="00A23F51" w:rsidRPr="00EE6125" w:rsidRDefault="00A23F51" w:rsidP="00A23F51">
      <w:pPr>
        <w:autoSpaceDE w:val="0"/>
        <w:jc w:val="both"/>
        <w:rPr>
          <w:color w:val="000000"/>
          <w:lang w:val="en-GB"/>
        </w:rPr>
      </w:pPr>
      <w:r w:rsidRPr="00EE6125">
        <w:rPr>
          <w:b/>
          <w:color w:val="000000"/>
          <w:lang w:val="en-GB"/>
        </w:rPr>
        <w:t>CCIU -</w:t>
      </w:r>
      <w:r w:rsidRPr="00EE6125">
        <w:rPr>
          <w:color w:val="000000"/>
          <w:lang w:val="en-GB"/>
        </w:rPr>
        <w:t xml:space="preserve"> Central Criminal Investigation Unit</w:t>
      </w:r>
    </w:p>
    <w:p w:rsidR="00A23F51" w:rsidRPr="000D0C3A" w:rsidRDefault="00A23F51" w:rsidP="00A23F51">
      <w:pPr>
        <w:autoSpaceDE w:val="0"/>
        <w:jc w:val="both"/>
        <w:rPr>
          <w:lang w:val="en-GB"/>
        </w:rPr>
      </w:pPr>
      <w:r w:rsidRPr="000D0C3A">
        <w:rPr>
          <w:b/>
          <w:lang w:val="en-GB"/>
        </w:rPr>
        <w:t xml:space="preserve">CCPR </w:t>
      </w:r>
      <w:r w:rsidR="00CA0B7F" w:rsidRPr="000D0C3A">
        <w:rPr>
          <w:b/>
          <w:lang w:val="en-GB"/>
        </w:rPr>
        <w:t>-</w:t>
      </w:r>
      <w:r w:rsidRPr="000D0C3A">
        <w:rPr>
          <w:b/>
          <w:lang w:val="en-GB"/>
        </w:rPr>
        <w:t xml:space="preserve"> </w:t>
      </w:r>
      <w:r w:rsidRPr="000D0C3A">
        <w:rPr>
          <w:lang w:val="en-GB"/>
        </w:rPr>
        <w:t>International Covenant on Civil and Political Rights</w:t>
      </w:r>
    </w:p>
    <w:p w:rsidR="00CE3030" w:rsidRPr="000D0C3A" w:rsidRDefault="00CE3030" w:rsidP="00CE3030">
      <w:pPr>
        <w:jc w:val="both"/>
        <w:rPr>
          <w:lang w:val="en-GB"/>
        </w:rPr>
      </w:pPr>
      <w:r w:rsidRPr="000D0C3A">
        <w:rPr>
          <w:b/>
          <w:lang w:val="en-GB"/>
        </w:rPr>
        <w:t>CCR -</w:t>
      </w:r>
      <w:r w:rsidRPr="000D0C3A">
        <w:rPr>
          <w:lang w:val="en-GB"/>
        </w:rPr>
        <w:t xml:space="preserve"> Case Continuation Report</w:t>
      </w:r>
    </w:p>
    <w:p w:rsidR="00A23F51" w:rsidRPr="00995206" w:rsidRDefault="00E21754" w:rsidP="00A23F51">
      <w:pPr>
        <w:autoSpaceDE w:val="0"/>
        <w:jc w:val="both"/>
        <w:rPr>
          <w:lang w:val="en-GB"/>
        </w:rPr>
      </w:pPr>
      <w:r w:rsidRPr="00995206">
        <w:rPr>
          <w:b/>
          <w:lang w:val="en-GB"/>
        </w:rPr>
        <w:t>DOJ</w:t>
      </w:r>
      <w:r w:rsidR="00A23F51" w:rsidRPr="00995206">
        <w:rPr>
          <w:b/>
          <w:lang w:val="en-GB"/>
        </w:rPr>
        <w:t xml:space="preserve"> -</w:t>
      </w:r>
      <w:r w:rsidR="00A23F51" w:rsidRPr="00995206">
        <w:rPr>
          <w:lang w:val="en-GB"/>
        </w:rPr>
        <w:t xml:space="preserve"> Department of Justice</w:t>
      </w:r>
    </w:p>
    <w:p w:rsidR="00A23F51" w:rsidRPr="00995206" w:rsidRDefault="00A23F51" w:rsidP="00A23F51">
      <w:pPr>
        <w:autoSpaceDE w:val="0"/>
        <w:jc w:val="both"/>
        <w:rPr>
          <w:lang w:val="en-GB"/>
        </w:rPr>
      </w:pPr>
      <w:r w:rsidRPr="00995206">
        <w:rPr>
          <w:b/>
          <w:lang w:val="en-GB"/>
        </w:rPr>
        <w:t>DPPO</w:t>
      </w:r>
      <w:r w:rsidRPr="00995206">
        <w:rPr>
          <w:lang w:val="en-GB"/>
        </w:rPr>
        <w:t xml:space="preserve"> </w:t>
      </w:r>
      <w:r w:rsidRPr="00995206">
        <w:rPr>
          <w:b/>
          <w:lang w:val="en-GB"/>
        </w:rPr>
        <w:t>-</w:t>
      </w:r>
      <w:r w:rsidRPr="00995206">
        <w:rPr>
          <w:lang w:val="en-GB"/>
        </w:rPr>
        <w:t xml:space="preserve"> District Public Prosecutor’s Office</w:t>
      </w:r>
    </w:p>
    <w:p w:rsidR="00A23F51" w:rsidRPr="00995206" w:rsidRDefault="00A23F51" w:rsidP="00A23F51">
      <w:pPr>
        <w:autoSpaceDE w:val="0"/>
        <w:jc w:val="both"/>
        <w:rPr>
          <w:lang w:val="en-GB"/>
        </w:rPr>
      </w:pPr>
      <w:r w:rsidRPr="00995206">
        <w:rPr>
          <w:b/>
          <w:lang w:val="en-GB"/>
        </w:rPr>
        <w:t>ECHR</w:t>
      </w:r>
      <w:r w:rsidRPr="00995206">
        <w:rPr>
          <w:lang w:val="en-GB"/>
        </w:rPr>
        <w:t xml:space="preserve"> </w:t>
      </w:r>
      <w:r w:rsidRPr="00995206">
        <w:rPr>
          <w:b/>
          <w:lang w:val="en-GB"/>
        </w:rPr>
        <w:t>-</w:t>
      </w:r>
      <w:r w:rsidRPr="00995206">
        <w:rPr>
          <w:lang w:val="en-GB"/>
        </w:rPr>
        <w:t xml:space="preserve"> European Convention on Human Rights</w:t>
      </w:r>
    </w:p>
    <w:p w:rsidR="00A23F51" w:rsidRPr="00995206" w:rsidRDefault="00A23F51" w:rsidP="00A23F51">
      <w:pPr>
        <w:autoSpaceDE w:val="0"/>
        <w:jc w:val="both"/>
        <w:rPr>
          <w:lang w:val="en-GB"/>
        </w:rPr>
      </w:pPr>
      <w:r w:rsidRPr="00995206">
        <w:rPr>
          <w:b/>
          <w:lang w:val="en-GB"/>
        </w:rPr>
        <w:t>ECtHR</w:t>
      </w:r>
      <w:r w:rsidR="00226B37" w:rsidRPr="00995206">
        <w:rPr>
          <w:b/>
          <w:lang w:val="en-GB"/>
        </w:rPr>
        <w:t xml:space="preserve"> </w:t>
      </w:r>
      <w:r w:rsidRPr="00995206">
        <w:rPr>
          <w:b/>
          <w:lang w:val="en-GB"/>
        </w:rPr>
        <w:t>-</w:t>
      </w:r>
      <w:r w:rsidRPr="00995206">
        <w:rPr>
          <w:lang w:val="en-GB"/>
        </w:rPr>
        <w:t xml:space="preserve"> European Court of Human Rights </w:t>
      </w:r>
    </w:p>
    <w:p w:rsidR="00A23F51" w:rsidRPr="00995206" w:rsidRDefault="00A23F51" w:rsidP="00A23F51">
      <w:pPr>
        <w:autoSpaceDE w:val="0"/>
        <w:jc w:val="both"/>
        <w:rPr>
          <w:lang w:val="en-GB"/>
        </w:rPr>
      </w:pPr>
      <w:r w:rsidRPr="00995206">
        <w:rPr>
          <w:b/>
          <w:lang w:val="en-GB"/>
        </w:rPr>
        <w:t>EU</w:t>
      </w:r>
      <w:r w:rsidR="00226B37" w:rsidRPr="00995206">
        <w:rPr>
          <w:lang w:val="en-GB"/>
        </w:rPr>
        <w:t xml:space="preserve"> </w:t>
      </w:r>
      <w:r w:rsidR="00226B37" w:rsidRPr="00995206">
        <w:rPr>
          <w:b/>
          <w:lang w:val="en-GB"/>
        </w:rPr>
        <w:t>-</w:t>
      </w:r>
      <w:r w:rsidRPr="00995206">
        <w:rPr>
          <w:lang w:val="en-GB"/>
        </w:rPr>
        <w:t xml:space="preserve"> European Union</w:t>
      </w:r>
    </w:p>
    <w:p w:rsidR="00A23F51" w:rsidRPr="00995206" w:rsidRDefault="00A23F51" w:rsidP="00A23F51">
      <w:pPr>
        <w:autoSpaceDE w:val="0"/>
        <w:jc w:val="both"/>
        <w:rPr>
          <w:lang w:val="en-GB"/>
        </w:rPr>
      </w:pPr>
      <w:r w:rsidRPr="00995206">
        <w:rPr>
          <w:b/>
          <w:lang w:val="en-GB"/>
        </w:rPr>
        <w:t>EULEX</w:t>
      </w:r>
      <w:r w:rsidRPr="00995206">
        <w:rPr>
          <w:lang w:val="en-GB"/>
        </w:rPr>
        <w:t xml:space="preserve"> </w:t>
      </w:r>
      <w:r w:rsidRPr="00995206">
        <w:rPr>
          <w:b/>
          <w:lang w:val="en-GB"/>
        </w:rPr>
        <w:t>-</w:t>
      </w:r>
      <w:r w:rsidRPr="00995206">
        <w:rPr>
          <w:lang w:val="en-GB"/>
        </w:rPr>
        <w:t xml:space="preserve"> European Union Rule of Law Mission in Kosovo</w:t>
      </w:r>
    </w:p>
    <w:p w:rsidR="00A23F51" w:rsidRPr="00995206" w:rsidRDefault="00A23F51" w:rsidP="00A23F51">
      <w:pPr>
        <w:autoSpaceDE w:val="0"/>
        <w:jc w:val="both"/>
        <w:rPr>
          <w:lang w:val="en-GB"/>
        </w:rPr>
      </w:pPr>
      <w:r w:rsidRPr="00995206">
        <w:rPr>
          <w:b/>
          <w:lang w:val="en-GB"/>
        </w:rPr>
        <w:t>FRY -</w:t>
      </w:r>
      <w:r w:rsidRPr="00995206">
        <w:rPr>
          <w:lang w:val="en-GB"/>
        </w:rPr>
        <w:t xml:space="preserve"> Federal Republic of Yugoslavia </w:t>
      </w:r>
    </w:p>
    <w:p w:rsidR="003F56FC" w:rsidRPr="00995206" w:rsidRDefault="003F56FC" w:rsidP="00A23F51">
      <w:pPr>
        <w:autoSpaceDE w:val="0"/>
        <w:jc w:val="both"/>
        <w:rPr>
          <w:b/>
          <w:lang w:val="en-GB"/>
        </w:rPr>
      </w:pPr>
      <w:r w:rsidRPr="00995206">
        <w:rPr>
          <w:b/>
        </w:rPr>
        <w:t>HLC</w:t>
      </w:r>
      <w:r w:rsidRPr="00995206">
        <w:t xml:space="preserve"> - Humanitarian Law Center</w:t>
      </w:r>
    </w:p>
    <w:p w:rsidR="00A23F51" w:rsidRPr="00995206" w:rsidRDefault="00A23F51" w:rsidP="00A23F51">
      <w:pPr>
        <w:autoSpaceDE w:val="0"/>
        <w:jc w:val="both"/>
        <w:rPr>
          <w:lang w:val="en-GB"/>
        </w:rPr>
      </w:pPr>
      <w:r w:rsidRPr="00995206">
        <w:rPr>
          <w:b/>
          <w:lang w:val="en-GB"/>
        </w:rPr>
        <w:t>HRAP -</w:t>
      </w:r>
      <w:r w:rsidRPr="00995206">
        <w:rPr>
          <w:lang w:val="en-GB"/>
        </w:rPr>
        <w:t xml:space="preserve"> Human Rights Advisory Panel</w:t>
      </w:r>
    </w:p>
    <w:p w:rsidR="00A23F51" w:rsidRPr="00995206" w:rsidRDefault="00A23F51" w:rsidP="00A23F51">
      <w:pPr>
        <w:autoSpaceDE w:val="0"/>
        <w:jc w:val="both"/>
        <w:rPr>
          <w:lang w:val="en-GB"/>
        </w:rPr>
      </w:pPr>
      <w:r w:rsidRPr="00995206">
        <w:rPr>
          <w:b/>
          <w:lang w:val="en-GB"/>
        </w:rPr>
        <w:t>HRC</w:t>
      </w:r>
      <w:r w:rsidRPr="00995206">
        <w:rPr>
          <w:lang w:val="en-GB"/>
        </w:rPr>
        <w:t xml:space="preserve"> </w:t>
      </w:r>
      <w:r w:rsidR="00CA0B7F" w:rsidRPr="00995206">
        <w:rPr>
          <w:b/>
          <w:lang w:val="en-GB"/>
        </w:rPr>
        <w:t>-</w:t>
      </w:r>
      <w:r w:rsidRPr="00995206">
        <w:rPr>
          <w:lang w:val="en-GB"/>
        </w:rPr>
        <w:t xml:space="preserve"> United Nation Human Rights Committee</w:t>
      </w:r>
    </w:p>
    <w:p w:rsidR="00A23F51" w:rsidRPr="00995206" w:rsidRDefault="00A23F51" w:rsidP="00A23F51">
      <w:pPr>
        <w:autoSpaceDE w:val="0"/>
        <w:jc w:val="both"/>
        <w:rPr>
          <w:lang w:val="en-GB"/>
        </w:rPr>
      </w:pPr>
      <w:r w:rsidRPr="00995206">
        <w:rPr>
          <w:b/>
          <w:lang w:val="en-GB"/>
        </w:rPr>
        <w:t>IACtHR</w:t>
      </w:r>
      <w:r w:rsidRPr="00995206">
        <w:rPr>
          <w:lang w:val="en-GB"/>
        </w:rPr>
        <w:t>– Inter-American Court of Human Rights</w:t>
      </w:r>
    </w:p>
    <w:p w:rsidR="00A23F51" w:rsidRPr="00995206" w:rsidRDefault="00A23F51" w:rsidP="00A23F51">
      <w:pPr>
        <w:autoSpaceDE w:val="0"/>
        <w:jc w:val="both"/>
        <w:rPr>
          <w:lang w:val="en-GB"/>
        </w:rPr>
      </w:pPr>
      <w:r w:rsidRPr="00995206">
        <w:rPr>
          <w:b/>
          <w:lang w:val="en-GB"/>
        </w:rPr>
        <w:t>ICMP</w:t>
      </w:r>
      <w:r w:rsidRPr="00995206">
        <w:rPr>
          <w:lang w:val="en-GB"/>
        </w:rPr>
        <w:t xml:space="preserve"> </w:t>
      </w:r>
      <w:r w:rsidRPr="00995206">
        <w:rPr>
          <w:b/>
          <w:lang w:val="en-GB"/>
        </w:rPr>
        <w:t>-</w:t>
      </w:r>
      <w:r w:rsidRPr="00995206">
        <w:rPr>
          <w:lang w:val="en-GB"/>
        </w:rPr>
        <w:t xml:space="preserve"> International Commission of Missing Persons</w:t>
      </w:r>
    </w:p>
    <w:p w:rsidR="00A23F51" w:rsidRPr="00995206" w:rsidRDefault="00A23F51" w:rsidP="00A23F51">
      <w:pPr>
        <w:autoSpaceDE w:val="0"/>
        <w:jc w:val="both"/>
        <w:rPr>
          <w:lang w:val="en-GB"/>
        </w:rPr>
      </w:pPr>
      <w:r w:rsidRPr="00995206">
        <w:rPr>
          <w:b/>
          <w:lang w:val="en-GB"/>
        </w:rPr>
        <w:t>ICRC</w:t>
      </w:r>
      <w:r w:rsidRPr="00995206">
        <w:rPr>
          <w:lang w:val="en-GB"/>
        </w:rPr>
        <w:t xml:space="preserve"> </w:t>
      </w:r>
      <w:r w:rsidRPr="00995206">
        <w:rPr>
          <w:b/>
          <w:lang w:val="en-GB"/>
        </w:rPr>
        <w:t>-</w:t>
      </w:r>
      <w:r w:rsidRPr="00995206">
        <w:rPr>
          <w:lang w:val="en-GB"/>
        </w:rPr>
        <w:t xml:space="preserve"> International Committee of the Red Cross</w:t>
      </w:r>
    </w:p>
    <w:p w:rsidR="00A23F51" w:rsidRPr="00995206" w:rsidRDefault="00A23F51" w:rsidP="00A23F51">
      <w:pPr>
        <w:autoSpaceDE w:val="0"/>
        <w:jc w:val="both"/>
        <w:rPr>
          <w:lang w:val="en-GB"/>
        </w:rPr>
      </w:pPr>
      <w:r w:rsidRPr="00995206">
        <w:rPr>
          <w:b/>
          <w:lang w:val="en-GB"/>
        </w:rPr>
        <w:t>ICTY -</w:t>
      </w:r>
      <w:r w:rsidRPr="00995206">
        <w:rPr>
          <w:lang w:val="en-GB"/>
        </w:rPr>
        <w:t xml:space="preserve"> International Criminal Tribunal for former Yugoslavia</w:t>
      </w:r>
    </w:p>
    <w:p w:rsidR="00CA0B7F" w:rsidRPr="00995206" w:rsidRDefault="00CA0B7F" w:rsidP="00A23F51">
      <w:pPr>
        <w:autoSpaceDE w:val="0"/>
        <w:jc w:val="both"/>
        <w:rPr>
          <w:lang w:val="en-GB"/>
        </w:rPr>
      </w:pPr>
      <w:r w:rsidRPr="00995206">
        <w:rPr>
          <w:b/>
          <w:lang w:val="en-GB"/>
        </w:rPr>
        <w:t>IP</w:t>
      </w:r>
      <w:r w:rsidRPr="00995206">
        <w:rPr>
          <w:lang w:val="en-GB"/>
        </w:rPr>
        <w:t xml:space="preserve"> </w:t>
      </w:r>
      <w:r w:rsidRPr="00995206">
        <w:rPr>
          <w:b/>
          <w:lang w:val="en-GB"/>
        </w:rPr>
        <w:t>-</w:t>
      </w:r>
      <w:r w:rsidRPr="00995206">
        <w:rPr>
          <w:lang w:val="en-GB"/>
        </w:rPr>
        <w:t xml:space="preserve"> International Prosecutor</w:t>
      </w:r>
    </w:p>
    <w:p w:rsidR="006670FB" w:rsidRPr="00995206" w:rsidRDefault="006670FB" w:rsidP="00A23F51">
      <w:pPr>
        <w:autoSpaceDE w:val="0"/>
        <w:jc w:val="both"/>
        <w:rPr>
          <w:lang w:val="en-GB"/>
        </w:rPr>
      </w:pPr>
      <w:r w:rsidRPr="00995206">
        <w:rPr>
          <w:b/>
          <w:color w:val="000000"/>
          <w:lang w:val="en-GB"/>
        </w:rPr>
        <w:t>IPO</w:t>
      </w:r>
      <w:r w:rsidRPr="00995206">
        <w:rPr>
          <w:color w:val="000000"/>
          <w:lang w:val="en-GB"/>
        </w:rPr>
        <w:t xml:space="preserve"> - International Police Officer</w:t>
      </w:r>
    </w:p>
    <w:p w:rsidR="00A23F51" w:rsidRPr="00995206" w:rsidRDefault="00A23F51" w:rsidP="00A23F51">
      <w:pPr>
        <w:autoSpaceDE w:val="0"/>
        <w:jc w:val="both"/>
        <w:rPr>
          <w:lang w:val="en-GB"/>
        </w:rPr>
      </w:pPr>
      <w:r w:rsidRPr="00995206">
        <w:rPr>
          <w:b/>
          <w:lang w:val="en-GB"/>
        </w:rPr>
        <w:t>KFOR</w:t>
      </w:r>
      <w:r w:rsidRPr="00995206">
        <w:rPr>
          <w:lang w:val="en-GB"/>
        </w:rPr>
        <w:t xml:space="preserve"> </w:t>
      </w:r>
      <w:r w:rsidRPr="00995206">
        <w:rPr>
          <w:b/>
          <w:lang w:val="en-GB"/>
        </w:rPr>
        <w:t>-</w:t>
      </w:r>
      <w:r w:rsidRPr="00995206">
        <w:rPr>
          <w:lang w:val="en-GB"/>
        </w:rPr>
        <w:t xml:space="preserve"> International Security Force (commonly known as Kosovo Force)</w:t>
      </w:r>
    </w:p>
    <w:p w:rsidR="00A23F51" w:rsidRPr="00995206" w:rsidRDefault="00A23F51" w:rsidP="00A23F51">
      <w:pPr>
        <w:autoSpaceDE w:val="0"/>
        <w:jc w:val="both"/>
        <w:rPr>
          <w:lang w:val="en-GB"/>
        </w:rPr>
      </w:pPr>
      <w:r w:rsidRPr="00995206">
        <w:rPr>
          <w:b/>
          <w:lang w:val="en-GB"/>
        </w:rPr>
        <w:t>KLA</w:t>
      </w:r>
      <w:r w:rsidRPr="00995206">
        <w:rPr>
          <w:lang w:val="en-GB"/>
        </w:rPr>
        <w:t xml:space="preserve"> </w:t>
      </w:r>
      <w:r w:rsidRPr="00995206">
        <w:rPr>
          <w:b/>
          <w:lang w:val="en-GB"/>
        </w:rPr>
        <w:t>-</w:t>
      </w:r>
      <w:r w:rsidRPr="00995206">
        <w:rPr>
          <w:lang w:val="en-GB"/>
        </w:rPr>
        <w:t xml:space="preserve"> Kosovo Liberation Army</w:t>
      </w:r>
    </w:p>
    <w:p w:rsidR="00ED60CA" w:rsidRPr="00995206" w:rsidRDefault="00ED60CA" w:rsidP="00ED60CA">
      <w:pPr>
        <w:tabs>
          <w:tab w:val="num" w:pos="450"/>
        </w:tabs>
        <w:contextualSpacing/>
        <w:jc w:val="both"/>
        <w:rPr>
          <w:lang w:val="en-GB"/>
        </w:rPr>
      </w:pPr>
      <w:r w:rsidRPr="00995206">
        <w:rPr>
          <w:b/>
          <w:lang w:val="en-GB"/>
        </w:rPr>
        <w:t>SP</w:t>
      </w:r>
      <w:r w:rsidR="00625079" w:rsidRPr="00995206">
        <w:rPr>
          <w:b/>
          <w:lang w:val="en-GB"/>
        </w:rPr>
        <w:t>RK</w:t>
      </w:r>
      <w:r w:rsidRPr="00995206">
        <w:rPr>
          <w:lang w:val="en-GB"/>
        </w:rPr>
        <w:t xml:space="preserve"> </w:t>
      </w:r>
      <w:r w:rsidR="00625079" w:rsidRPr="00995206">
        <w:rPr>
          <w:lang w:val="en-GB"/>
        </w:rPr>
        <w:t>–</w:t>
      </w:r>
      <w:r w:rsidRPr="00995206">
        <w:rPr>
          <w:lang w:val="en-GB"/>
        </w:rPr>
        <w:t xml:space="preserve"> Kosovo</w:t>
      </w:r>
      <w:r w:rsidR="00625079" w:rsidRPr="00995206">
        <w:rPr>
          <w:lang w:val="en-GB"/>
        </w:rPr>
        <w:t>’s</w:t>
      </w:r>
      <w:r w:rsidRPr="00995206">
        <w:rPr>
          <w:lang w:val="en-GB"/>
        </w:rPr>
        <w:t xml:space="preserve"> Special Prosecution Office</w:t>
      </w:r>
    </w:p>
    <w:p w:rsidR="00A23F51" w:rsidRDefault="00A23F51" w:rsidP="00A23F51">
      <w:pPr>
        <w:autoSpaceDE w:val="0"/>
        <w:jc w:val="both"/>
        <w:rPr>
          <w:lang w:val="en-GB"/>
        </w:rPr>
      </w:pPr>
      <w:r w:rsidRPr="00995206">
        <w:rPr>
          <w:b/>
          <w:lang w:val="en-GB"/>
        </w:rPr>
        <w:t>MPU -</w:t>
      </w:r>
      <w:r w:rsidRPr="00995206">
        <w:rPr>
          <w:lang w:val="en-GB"/>
        </w:rPr>
        <w:t xml:space="preserve"> Missing Persons Unit</w:t>
      </w:r>
    </w:p>
    <w:p w:rsidR="00CE1775" w:rsidRPr="00CE1775" w:rsidRDefault="00CE1775" w:rsidP="00A23F51">
      <w:pPr>
        <w:autoSpaceDE w:val="0"/>
        <w:jc w:val="both"/>
        <w:rPr>
          <w:b/>
          <w:lang w:val="ru-RU"/>
        </w:rPr>
      </w:pPr>
      <w:r w:rsidRPr="00CE1775">
        <w:rPr>
          <w:b/>
          <w:lang w:val="en-GB"/>
        </w:rPr>
        <w:t>MUP</w:t>
      </w:r>
      <w:r>
        <w:rPr>
          <w:b/>
          <w:lang w:val="en-GB"/>
        </w:rPr>
        <w:t xml:space="preserve"> </w:t>
      </w:r>
      <w:r w:rsidRPr="00CE1775">
        <w:rPr>
          <w:lang w:val="en-GB"/>
        </w:rPr>
        <w:t xml:space="preserve">– </w:t>
      </w:r>
      <w:r w:rsidRPr="00CE1775">
        <w:t>Ministry of Internal Affairs (</w:t>
      </w:r>
      <w:proofErr w:type="gramStart"/>
      <w:r>
        <w:t>Serb.:</w:t>
      </w:r>
      <w:proofErr w:type="gramEnd"/>
      <w:r>
        <w:t xml:space="preserve"> </w:t>
      </w:r>
      <w:r w:rsidRPr="00CE1775">
        <w:rPr>
          <w:i/>
          <w:lang w:val="ru-RU"/>
        </w:rPr>
        <w:t>Министарство унутрашних послова</w:t>
      </w:r>
      <w:r w:rsidRPr="00CE1775">
        <w:rPr>
          <w:lang w:val="ru-RU"/>
        </w:rPr>
        <w:t>)</w:t>
      </w:r>
    </w:p>
    <w:p w:rsidR="00A23F51" w:rsidRPr="00995206" w:rsidRDefault="00A23F51" w:rsidP="00A23F51">
      <w:pPr>
        <w:autoSpaceDE w:val="0"/>
        <w:jc w:val="both"/>
        <w:rPr>
          <w:lang w:val="en-GB"/>
        </w:rPr>
      </w:pPr>
      <w:r w:rsidRPr="00995206">
        <w:rPr>
          <w:b/>
          <w:lang w:val="en-GB"/>
        </w:rPr>
        <w:t>NATO</w:t>
      </w:r>
      <w:r w:rsidRPr="00995206">
        <w:rPr>
          <w:lang w:val="en-GB"/>
        </w:rPr>
        <w:t xml:space="preserve"> </w:t>
      </w:r>
      <w:r w:rsidRPr="00995206">
        <w:rPr>
          <w:b/>
          <w:lang w:val="en-GB"/>
        </w:rPr>
        <w:t xml:space="preserve">- </w:t>
      </w:r>
      <w:r w:rsidRPr="00995206">
        <w:rPr>
          <w:lang w:val="en-GB"/>
        </w:rPr>
        <w:t xml:space="preserve">North Atlantic Treaty Organization </w:t>
      </w:r>
    </w:p>
    <w:p w:rsidR="00A23F51" w:rsidRPr="00995206" w:rsidRDefault="00A23F51" w:rsidP="00A23F51">
      <w:pPr>
        <w:autoSpaceDE w:val="0"/>
        <w:jc w:val="both"/>
        <w:rPr>
          <w:lang w:val="en-GB"/>
        </w:rPr>
      </w:pPr>
      <w:r w:rsidRPr="00995206">
        <w:rPr>
          <w:b/>
          <w:lang w:val="en-GB"/>
        </w:rPr>
        <w:t>OMPF</w:t>
      </w:r>
      <w:r w:rsidRPr="00995206">
        <w:rPr>
          <w:lang w:val="en-GB"/>
        </w:rPr>
        <w:t xml:space="preserve"> </w:t>
      </w:r>
      <w:r w:rsidRPr="00995206">
        <w:rPr>
          <w:b/>
          <w:lang w:val="en-GB"/>
        </w:rPr>
        <w:t>-</w:t>
      </w:r>
      <w:r w:rsidRPr="00995206">
        <w:rPr>
          <w:lang w:val="en-GB"/>
        </w:rPr>
        <w:t xml:space="preserve"> Office on Missing Persons and Forensics</w:t>
      </w:r>
    </w:p>
    <w:p w:rsidR="00A23F51" w:rsidRPr="00995206" w:rsidRDefault="00A23F51" w:rsidP="00A23F51">
      <w:pPr>
        <w:autoSpaceDE w:val="0"/>
        <w:jc w:val="both"/>
        <w:rPr>
          <w:lang w:val="en-GB"/>
        </w:rPr>
      </w:pPr>
      <w:r w:rsidRPr="00995206">
        <w:rPr>
          <w:b/>
          <w:lang w:val="en-GB"/>
        </w:rPr>
        <w:t>OSCE</w:t>
      </w:r>
      <w:r w:rsidRPr="00995206">
        <w:rPr>
          <w:lang w:val="en-GB"/>
        </w:rPr>
        <w:t xml:space="preserve"> </w:t>
      </w:r>
      <w:r w:rsidRPr="00995206">
        <w:rPr>
          <w:b/>
          <w:lang w:val="en-GB"/>
        </w:rPr>
        <w:t>-</w:t>
      </w:r>
      <w:r w:rsidRPr="00995206">
        <w:rPr>
          <w:lang w:val="en-GB"/>
        </w:rPr>
        <w:t xml:space="preserve"> Organization for Security and Cooperation in Europe</w:t>
      </w:r>
    </w:p>
    <w:p w:rsidR="0063322C" w:rsidRPr="00995206" w:rsidRDefault="0063322C" w:rsidP="00A23F51">
      <w:pPr>
        <w:autoSpaceDE w:val="0"/>
        <w:jc w:val="both"/>
        <w:rPr>
          <w:lang w:val="en-GB"/>
        </w:rPr>
      </w:pPr>
      <w:r w:rsidRPr="00995206">
        <w:rPr>
          <w:b/>
          <w:lang w:val="en-GB"/>
        </w:rPr>
        <w:t>OTP</w:t>
      </w:r>
      <w:r w:rsidRPr="00995206">
        <w:rPr>
          <w:lang w:val="en-GB"/>
        </w:rPr>
        <w:t xml:space="preserve"> </w:t>
      </w:r>
      <w:r w:rsidRPr="00995206">
        <w:rPr>
          <w:b/>
          <w:lang w:val="en-GB"/>
        </w:rPr>
        <w:t>-</w:t>
      </w:r>
      <w:r w:rsidRPr="00995206">
        <w:rPr>
          <w:lang w:val="en-GB"/>
        </w:rPr>
        <w:t xml:space="preserve"> ICTY Office of the Prosecutor</w:t>
      </w:r>
    </w:p>
    <w:p w:rsidR="00A23F51" w:rsidRPr="00995206" w:rsidRDefault="00A23F51" w:rsidP="00A23F51">
      <w:pPr>
        <w:autoSpaceDE w:val="0"/>
        <w:jc w:val="both"/>
        <w:rPr>
          <w:lang w:val="en-GB"/>
        </w:rPr>
      </w:pPr>
      <w:r w:rsidRPr="00995206">
        <w:rPr>
          <w:b/>
          <w:lang w:val="en-GB"/>
        </w:rPr>
        <w:t>SRSG</w:t>
      </w:r>
      <w:r w:rsidRPr="00995206">
        <w:rPr>
          <w:lang w:val="en-GB"/>
        </w:rPr>
        <w:t xml:space="preserve"> </w:t>
      </w:r>
      <w:r w:rsidRPr="00995206">
        <w:rPr>
          <w:b/>
          <w:lang w:val="en-GB"/>
        </w:rPr>
        <w:t>-</w:t>
      </w:r>
      <w:r w:rsidRPr="00995206">
        <w:rPr>
          <w:lang w:val="en-GB"/>
        </w:rPr>
        <w:t xml:space="preserve"> Special Representative of the Secretary-General </w:t>
      </w:r>
    </w:p>
    <w:p w:rsidR="00A23F51" w:rsidRPr="000D0C3A" w:rsidRDefault="00A23F51" w:rsidP="00A23F51">
      <w:pPr>
        <w:autoSpaceDE w:val="0"/>
        <w:jc w:val="both"/>
        <w:rPr>
          <w:lang w:val="en-GB"/>
        </w:rPr>
      </w:pPr>
      <w:r w:rsidRPr="00995206">
        <w:rPr>
          <w:b/>
          <w:lang w:val="en-GB"/>
        </w:rPr>
        <w:t>UN</w:t>
      </w:r>
      <w:r w:rsidRPr="00995206">
        <w:rPr>
          <w:lang w:val="en-GB"/>
        </w:rPr>
        <w:t xml:space="preserve"> </w:t>
      </w:r>
      <w:r w:rsidRPr="00995206">
        <w:rPr>
          <w:b/>
          <w:lang w:val="en-GB"/>
        </w:rPr>
        <w:t>-</w:t>
      </w:r>
      <w:r w:rsidRPr="00995206">
        <w:rPr>
          <w:lang w:val="en-GB"/>
        </w:rPr>
        <w:t xml:space="preserve"> United Nations</w:t>
      </w:r>
    </w:p>
    <w:p w:rsidR="00A23F51" w:rsidRPr="000D0C3A" w:rsidRDefault="00A23F51" w:rsidP="00A23F51">
      <w:pPr>
        <w:autoSpaceDE w:val="0"/>
        <w:jc w:val="both"/>
        <w:rPr>
          <w:lang w:val="en-GB"/>
        </w:rPr>
      </w:pPr>
      <w:r w:rsidRPr="000D0C3A">
        <w:rPr>
          <w:b/>
          <w:lang w:val="en-GB"/>
        </w:rPr>
        <w:t xml:space="preserve">UNHCR - </w:t>
      </w:r>
      <w:r w:rsidRPr="000D0C3A">
        <w:rPr>
          <w:lang w:val="en-GB"/>
        </w:rPr>
        <w:t>United Nations High Commissioner for Refugees</w:t>
      </w:r>
    </w:p>
    <w:p w:rsidR="00A23F51" w:rsidRPr="000D0C3A" w:rsidRDefault="00A23F51" w:rsidP="00A23F51">
      <w:pPr>
        <w:autoSpaceDE w:val="0"/>
        <w:jc w:val="both"/>
        <w:rPr>
          <w:lang w:val="en-GB"/>
        </w:rPr>
      </w:pPr>
      <w:r w:rsidRPr="000D0C3A">
        <w:rPr>
          <w:b/>
          <w:lang w:val="en-GB"/>
        </w:rPr>
        <w:t>UNMIK</w:t>
      </w:r>
      <w:r w:rsidRPr="000D0C3A">
        <w:rPr>
          <w:lang w:val="en-GB"/>
        </w:rPr>
        <w:t xml:space="preserve"> </w:t>
      </w:r>
      <w:r w:rsidRPr="000D0C3A">
        <w:rPr>
          <w:b/>
          <w:lang w:val="en-GB"/>
        </w:rPr>
        <w:t>-</w:t>
      </w:r>
      <w:r w:rsidRPr="000D0C3A">
        <w:rPr>
          <w:lang w:val="en-GB"/>
        </w:rPr>
        <w:t xml:space="preserve"> United Nations Interim Administration Mission in Kosovo </w:t>
      </w:r>
    </w:p>
    <w:p w:rsidR="00262B44" w:rsidRPr="00D22581" w:rsidRDefault="00527746" w:rsidP="00A23F51">
      <w:pPr>
        <w:autoSpaceDE w:val="0"/>
        <w:jc w:val="both"/>
        <w:rPr>
          <w:lang w:val="en-GB"/>
        </w:rPr>
      </w:pPr>
      <w:r w:rsidRPr="000D0C3A">
        <w:rPr>
          <w:b/>
          <w:lang w:val="en-GB"/>
        </w:rPr>
        <w:t>WC</w:t>
      </w:r>
      <w:r w:rsidR="00497EA4" w:rsidRPr="000D0C3A">
        <w:rPr>
          <w:b/>
          <w:lang w:val="en-GB"/>
        </w:rPr>
        <w:t>I</w:t>
      </w:r>
      <w:r w:rsidR="00A23F51" w:rsidRPr="000D0C3A">
        <w:rPr>
          <w:b/>
          <w:lang w:val="en-GB"/>
        </w:rPr>
        <w:t xml:space="preserve">U - </w:t>
      </w:r>
      <w:r w:rsidR="00A23F51" w:rsidRPr="000D0C3A">
        <w:rPr>
          <w:lang w:val="en-GB"/>
        </w:rPr>
        <w:t>War Crimes Investigation Unit</w:t>
      </w:r>
    </w:p>
    <w:sectPr w:rsidR="00262B44" w:rsidRPr="00D22581" w:rsidSect="0019049B">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C7A" w:rsidRDefault="00B85C7A">
      <w:r>
        <w:separator/>
      </w:r>
    </w:p>
  </w:endnote>
  <w:endnote w:type="continuationSeparator" w:id="0">
    <w:p w:rsidR="00B85C7A" w:rsidRDefault="00B8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T13FAo00">
    <w:altName w:val="MS Mincho"/>
    <w:panose1 w:val="00000000000000000000"/>
    <w:charset w:val="80"/>
    <w:family w:val="auto"/>
    <w:notTrueType/>
    <w:pitch w:val="default"/>
    <w:sig w:usb0="00000001" w:usb1="08070000" w:usb2="00000010" w:usb3="00000000" w:csb0="00020000"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C7A" w:rsidRDefault="00B85C7A">
      <w:r>
        <w:separator/>
      </w:r>
    </w:p>
  </w:footnote>
  <w:footnote w:type="continuationSeparator" w:id="0">
    <w:p w:rsidR="00B85C7A" w:rsidRDefault="00B85C7A">
      <w:r>
        <w:continuationSeparator/>
      </w:r>
    </w:p>
  </w:footnote>
  <w:footnote w:id="1">
    <w:p w:rsidR="00C6596E" w:rsidRPr="00D849AF" w:rsidRDefault="00C6596E" w:rsidP="00F533F0">
      <w:pPr>
        <w:pStyle w:val="FootnoteText"/>
        <w:jc w:val="both"/>
        <w:rPr>
          <w:rFonts w:ascii="Times New Roman" w:hAnsi="Times New Roman"/>
          <w:sz w:val="20"/>
        </w:rPr>
      </w:pPr>
      <w:r w:rsidRPr="00D849AF">
        <w:rPr>
          <w:rFonts w:ascii="Times New Roman" w:hAnsi="Times New Roman"/>
          <w:sz w:val="20"/>
          <w:vertAlign w:val="superscript"/>
        </w:rPr>
        <w:footnoteRef/>
      </w:r>
      <w:r w:rsidRPr="00D849AF">
        <w:rPr>
          <w:rFonts w:ascii="Times New Roman" w:hAnsi="Times New Roman"/>
          <w:sz w:val="20"/>
          <w:vertAlign w:val="superscript"/>
        </w:rPr>
        <w:t xml:space="preserve"> </w:t>
      </w:r>
      <w:r w:rsidRPr="00D849AF">
        <w:rPr>
          <w:rFonts w:ascii="Times New Roman" w:hAnsi="Times New Roman"/>
          <w:sz w:val="20"/>
        </w:rPr>
        <w:t>A list of abbreviations and acronyms contained in the text can be found in the attached Annex.</w:t>
      </w:r>
    </w:p>
  </w:footnote>
  <w:footnote w:id="2">
    <w:p w:rsidR="00C6596E" w:rsidRPr="00D849AF" w:rsidRDefault="00C6596E" w:rsidP="00F533F0">
      <w:pPr>
        <w:pStyle w:val="FootnoteText"/>
        <w:jc w:val="both"/>
        <w:rPr>
          <w:rFonts w:ascii="Times New Roman" w:hAnsi="Times New Roman"/>
          <w:sz w:val="20"/>
        </w:rPr>
      </w:pPr>
      <w:r w:rsidRPr="00D849AF">
        <w:rPr>
          <w:rStyle w:val="FootnoteReference"/>
          <w:rFonts w:ascii="Times New Roman" w:hAnsi="Times New Roman"/>
          <w:sz w:val="20"/>
        </w:rPr>
        <w:footnoteRef/>
      </w:r>
      <w:r w:rsidRPr="00D849AF">
        <w:rPr>
          <w:rFonts w:ascii="Times New Roman" w:hAnsi="Times New Roman"/>
          <w:sz w:val="20"/>
        </w:rPr>
        <w:t xml:space="preserve"> The references drawn upon by the Panel in setting out this general background include: OSCE, </w:t>
      </w:r>
      <w:r w:rsidRPr="00D849AF">
        <w:rPr>
          <w:rFonts w:ascii="Times New Roman" w:hAnsi="Times New Roman"/>
          <w:i/>
          <w:sz w:val="20"/>
        </w:rPr>
        <w:t>“As Seen, as Told”</w:t>
      </w:r>
      <w:r w:rsidRPr="00D849AF">
        <w:rPr>
          <w:rFonts w:ascii="Times New Roman" w:hAnsi="Times New Roman"/>
          <w:sz w:val="20"/>
        </w:rPr>
        <w:t xml:space="preserve">, Vol. 1 (October 1998 – June 1999) and Vol. II (14 June – 31 October 1999); quarterly reports of the UN Secretary-General on the United Nations Interim Administration in Kosovo; UNMIK Police Annual Reports; Humanitarian Law Centre, </w:t>
      </w:r>
      <w:r w:rsidRPr="00D849AF">
        <w:rPr>
          <w:rFonts w:ascii="Times New Roman" w:hAnsi="Times New Roman"/>
          <w:i/>
          <w:sz w:val="20"/>
        </w:rPr>
        <w:t>“Abductions and Disappearances of non-Albanians in Kosovo”</w:t>
      </w:r>
      <w:r w:rsidRPr="00D849AF">
        <w:rPr>
          <w:rFonts w:ascii="Times New Roman" w:hAnsi="Times New Roman"/>
          <w:sz w:val="20"/>
        </w:rPr>
        <w:t xml:space="preserve"> (2001); Humanitarian Law Centre, “Kosovo Memory Book” (htpp://www.kosovomemorybook.org); UNMIK Office on Missing Persons and Forensics, Activity Report 2002-2004; European Court of Human Rights, </w:t>
      </w:r>
      <w:proofErr w:type="spellStart"/>
      <w:r w:rsidRPr="00D849AF">
        <w:rPr>
          <w:rFonts w:ascii="Times New Roman" w:hAnsi="Times New Roman"/>
          <w:i/>
          <w:sz w:val="20"/>
        </w:rPr>
        <w:t>Behrami</w:t>
      </w:r>
      <w:proofErr w:type="spellEnd"/>
      <w:r w:rsidRPr="00D849AF">
        <w:rPr>
          <w:rFonts w:ascii="Times New Roman" w:hAnsi="Times New Roman"/>
          <w:i/>
          <w:sz w:val="20"/>
        </w:rPr>
        <w:t xml:space="preserve"> and </w:t>
      </w:r>
      <w:proofErr w:type="spellStart"/>
      <w:r w:rsidRPr="00D849AF">
        <w:rPr>
          <w:rFonts w:ascii="Times New Roman" w:hAnsi="Times New Roman"/>
          <w:i/>
          <w:sz w:val="20"/>
        </w:rPr>
        <w:t>Behrami</w:t>
      </w:r>
      <w:proofErr w:type="spellEnd"/>
      <w:r w:rsidRPr="00D849AF">
        <w:rPr>
          <w:rFonts w:ascii="Times New Roman" w:hAnsi="Times New Roman"/>
          <w:i/>
          <w:sz w:val="20"/>
        </w:rPr>
        <w:t xml:space="preserve"> v. France</w:t>
      </w:r>
      <w:r w:rsidRPr="00D849AF">
        <w:rPr>
          <w:rFonts w:ascii="Times New Roman" w:hAnsi="Times New Roman"/>
          <w:sz w:val="20"/>
        </w:rPr>
        <w:t xml:space="preserve"> and </w:t>
      </w:r>
      <w:proofErr w:type="spellStart"/>
      <w:r w:rsidRPr="00D849AF">
        <w:rPr>
          <w:rFonts w:ascii="Times New Roman" w:hAnsi="Times New Roman"/>
          <w:i/>
          <w:sz w:val="20"/>
        </w:rPr>
        <w:t>Saramati</w:t>
      </w:r>
      <w:proofErr w:type="spellEnd"/>
      <w:r w:rsidRPr="00D849AF">
        <w:rPr>
          <w:rFonts w:ascii="Times New Roman" w:hAnsi="Times New Roman"/>
          <w:i/>
          <w:sz w:val="20"/>
        </w:rPr>
        <w:t xml:space="preserve"> v. France, Germany and Norway</w:t>
      </w:r>
      <w:r w:rsidRPr="00D849AF">
        <w:rPr>
          <w:rFonts w:ascii="Times New Roman" w:hAnsi="Times New Roman"/>
          <w:sz w:val="20"/>
        </w:rPr>
        <w:t xml:space="preserve">, nos </w:t>
      </w:r>
      <w:r w:rsidRPr="00D849AF">
        <w:rPr>
          <w:rStyle w:val="sb8d990e2"/>
          <w:rFonts w:ascii="Times New Roman" w:hAnsi="Times New Roman"/>
          <w:sz w:val="20"/>
        </w:rPr>
        <w:t xml:space="preserve">71412/01 and78166/01, </w:t>
      </w:r>
      <w:r w:rsidRPr="00D849AF">
        <w:rPr>
          <w:rFonts w:ascii="Times New Roman" w:hAnsi="Times New Roman"/>
          <w:sz w:val="20"/>
        </w:rPr>
        <w:t xml:space="preserve">decision of 2 May 2007; International Commission on Missing Persons, </w:t>
      </w:r>
      <w:r w:rsidRPr="00D849AF">
        <w:rPr>
          <w:rFonts w:ascii="Times New Roman" w:hAnsi="Times New Roman"/>
          <w:i/>
          <w:sz w:val="20"/>
        </w:rPr>
        <w:t>“The Situation in Kosovo: a Stock Taking”</w:t>
      </w:r>
      <w:r w:rsidRPr="00D849AF">
        <w:rPr>
          <w:rFonts w:ascii="Times New Roman" w:hAnsi="Times New Roman"/>
          <w:sz w:val="20"/>
        </w:rPr>
        <w:t xml:space="preserve"> (2010); data issued by the United Nations High Commissioner for Refugees, (available at </w:t>
      </w:r>
      <w:hyperlink r:id="rId1" w:history="1">
        <w:r w:rsidRPr="00D849AF">
          <w:rPr>
            <w:rStyle w:val="Hyperlink"/>
            <w:rFonts w:ascii="Times New Roman" w:hAnsi="Times New Roman"/>
            <w:color w:val="auto"/>
            <w:sz w:val="20"/>
          </w:rPr>
          <w:t>www.unhchr.org</w:t>
        </w:r>
      </w:hyperlink>
      <w:r w:rsidRPr="00D849AF">
        <w:rPr>
          <w:rFonts w:ascii="Times New Roman" w:hAnsi="Times New Roman"/>
          <w:sz w:val="20"/>
        </w:rPr>
        <w:t xml:space="preserve">) and by the International Committee of the Red Cross (available at </w:t>
      </w:r>
      <w:hyperlink r:id="rId2" w:history="1">
        <w:r w:rsidRPr="00D849AF">
          <w:rPr>
            <w:rStyle w:val="Hyperlink"/>
            <w:rFonts w:ascii="Times New Roman" w:hAnsi="Times New Roman"/>
            <w:color w:val="auto"/>
            <w:sz w:val="20"/>
          </w:rPr>
          <w:t>http://familylinks.icrc.org/kosovo/en</w:t>
        </w:r>
      </w:hyperlink>
      <w:r w:rsidRPr="00D849AF">
        <w:rPr>
          <w:rFonts w:ascii="Times New Roman" w:hAnsi="Times New Roman"/>
          <w:sz w:val="20"/>
        </w:rPr>
        <w:t>).</w:t>
      </w:r>
    </w:p>
  </w:footnote>
  <w:footnote w:id="3">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The OMPF database is an electronic source not open to public. The Panel accessed it with regard to this case on 12 December 2014.</w:t>
      </w:r>
    </w:p>
  </w:footnote>
  <w:footnote w:id="4">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The ICRC database is an electronic source available at: </w:t>
      </w:r>
      <w:hyperlink r:id="rId3" w:history="1">
        <w:r w:rsidRPr="00D849AF">
          <w:rPr>
            <w:rStyle w:val="Hyperlink"/>
            <w:rFonts w:ascii="Times New Roman" w:hAnsi="Times New Roman"/>
            <w:color w:val="auto"/>
            <w:sz w:val="20"/>
          </w:rPr>
          <w:t>http://familylinks.icrc.org/kosovo/en/pages/search-persons.aspx</w:t>
        </w:r>
      </w:hyperlink>
      <w:r w:rsidRPr="00D849AF">
        <w:rPr>
          <w:rFonts w:ascii="Times New Roman" w:hAnsi="Times New Roman"/>
          <w:sz w:val="20"/>
        </w:rPr>
        <w:t xml:space="preserve"> (accessed on 1</w:t>
      </w:r>
      <w:r>
        <w:rPr>
          <w:rFonts w:ascii="Times New Roman" w:hAnsi="Times New Roman"/>
          <w:sz w:val="20"/>
        </w:rPr>
        <w:t>2</w:t>
      </w:r>
      <w:r w:rsidRPr="00D849AF">
        <w:rPr>
          <w:rFonts w:ascii="Times New Roman" w:hAnsi="Times New Roman"/>
          <w:sz w:val="20"/>
        </w:rPr>
        <w:t xml:space="preserve"> </w:t>
      </w:r>
      <w:r>
        <w:rPr>
          <w:rFonts w:ascii="Times New Roman" w:hAnsi="Times New Roman"/>
          <w:sz w:val="20"/>
        </w:rPr>
        <w:t>December</w:t>
      </w:r>
      <w:r w:rsidRPr="00D849AF">
        <w:rPr>
          <w:rFonts w:ascii="Times New Roman" w:hAnsi="Times New Roman"/>
          <w:sz w:val="20"/>
        </w:rPr>
        <w:t xml:space="preserve"> 2014).</w:t>
      </w:r>
    </w:p>
  </w:footnote>
  <w:footnote w:id="5">
    <w:p w:rsidR="00C6596E" w:rsidRPr="00D849AF" w:rsidRDefault="00C6596E" w:rsidP="00F533F0">
      <w:pPr>
        <w:pStyle w:val="FootnoteText"/>
        <w:jc w:val="both"/>
        <w:rPr>
          <w:rFonts w:ascii="Times New Roman" w:hAnsi="Times New Roman"/>
          <w:sz w:val="20"/>
        </w:rPr>
      </w:pPr>
      <w:r w:rsidRPr="00D849AF">
        <w:rPr>
          <w:rStyle w:val="FootnoteReference"/>
          <w:rFonts w:ascii="Times New Roman" w:hAnsi="Times New Roman"/>
          <w:sz w:val="20"/>
        </w:rPr>
        <w:footnoteRef/>
      </w:r>
      <w:r w:rsidRPr="00D849AF">
        <w:rPr>
          <w:rFonts w:ascii="Times New Roman" w:hAnsi="Times New Roman"/>
          <w:sz w:val="20"/>
        </w:rPr>
        <w:t xml:space="preserve"> The ICMP database is an electronic source available at:  </w:t>
      </w:r>
      <w:hyperlink r:id="rId4" w:history="1">
        <w:r w:rsidRPr="00D849AF">
          <w:rPr>
            <w:rStyle w:val="Hyperlink"/>
            <w:rFonts w:ascii="Times New Roman" w:hAnsi="Times New Roman"/>
            <w:color w:val="auto"/>
            <w:sz w:val="20"/>
          </w:rPr>
          <w:t>http://www.ic-mp.org/fdmsweb/index.php?w=mp_details&amp;l=en</w:t>
        </w:r>
      </w:hyperlink>
      <w:r w:rsidRPr="00D849AF">
        <w:rPr>
          <w:rFonts w:ascii="Times New Roman" w:hAnsi="Times New Roman"/>
          <w:sz w:val="20"/>
        </w:rPr>
        <w:t xml:space="preserve"> (accessed on 12 December 2014).</w:t>
      </w:r>
    </w:p>
  </w:footnote>
  <w:footnote w:id="6">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r w:rsidRPr="00D849AF">
        <w:rPr>
          <w:rFonts w:ascii="Times New Roman" w:hAnsi="Times New Roman"/>
          <w:sz w:val="20"/>
          <w:lang w:val="en-US"/>
        </w:rPr>
        <w:t>His name in ICMP, ICRC and OMPF databases is spelled as “</w:t>
      </w:r>
      <w:proofErr w:type="spellStart"/>
      <w:r w:rsidRPr="00D849AF">
        <w:rPr>
          <w:rFonts w:ascii="Times New Roman" w:hAnsi="Times New Roman"/>
          <w:sz w:val="20"/>
          <w:lang w:val="en-US"/>
        </w:rPr>
        <w:t>Radoman</w:t>
      </w:r>
      <w:proofErr w:type="spellEnd"/>
      <w:r w:rsidRPr="00D849AF">
        <w:rPr>
          <w:rFonts w:ascii="Times New Roman" w:hAnsi="Times New Roman"/>
          <w:sz w:val="20"/>
          <w:lang w:val="en-US"/>
        </w:rPr>
        <w:t>”.</w:t>
      </w:r>
    </w:p>
  </w:footnote>
  <w:footnote w:id="7">
    <w:p w:rsidR="00C6596E" w:rsidRPr="00D849AF" w:rsidRDefault="00C6596E" w:rsidP="00F533F0">
      <w:pPr>
        <w:pStyle w:val="FootnoteText"/>
        <w:jc w:val="both"/>
        <w:rPr>
          <w:rFonts w:ascii="Times New Roman" w:hAnsi="Times New Roman"/>
          <w:sz w:val="20"/>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Derogatory for “Serb” (Albanian).</w:t>
      </w:r>
      <w:proofErr w:type="gramEnd"/>
    </w:p>
  </w:footnote>
  <w:footnote w:id="8">
    <w:p w:rsidR="00C6596E" w:rsidRPr="00D849AF" w:rsidRDefault="00C6596E" w:rsidP="00F533F0">
      <w:pPr>
        <w:autoSpaceDE w:val="0"/>
        <w:autoSpaceDN w:val="0"/>
        <w:adjustRightInd w:val="0"/>
        <w:jc w:val="both"/>
        <w:rPr>
          <w:sz w:val="20"/>
          <w:szCs w:val="20"/>
        </w:rPr>
      </w:pPr>
      <w:r w:rsidRPr="00D849AF">
        <w:rPr>
          <w:rStyle w:val="FootnoteReference"/>
          <w:sz w:val="20"/>
          <w:szCs w:val="20"/>
        </w:rPr>
        <w:footnoteRef/>
      </w:r>
      <w:r w:rsidRPr="00D849AF">
        <w:rPr>
          <w:sz w:val="20"/>
          <w:szCs w:val="20"/>
        </w:rPr>
        <w:t xml:space="preserve"> </w:t>
      </w:r>
      <w:proofErr w:type="gramStart"/>
      <w:r w:rsidRPr="00D849AF">
        <w:rPr>
          <w:i/>
          <w:sz w:val="20"/>
          <w:szCs w:val="20"/>
        </w:rPr>
        <w:t>Abductions and Disappearances of Non-Albanians in Kosovo.</w:t>
      </w:r>
      <w:proofErr w:type="gramEnd"/>
      <w:r w:rsidRPr="00D849AF">
        <w:rPr>
          <w:i/>
          <w:sz w:val="20"/>
          <w:szCs w:val="20"/>
        </w:rPr>
        <w:t xml:space="preserve"> </w:t>
      </w:r>
      <w:r w:rsidRPr="00D849AF">
        <w:rPr>
          <w:rFonts w:eastAsia="TT13FAo00"/>
          <w:i/>
          <w:sz w:val="20"/>
          <w:szCs w:val="20"/>
        </w:rPr>
        <w:t>24 March 1999 – 31 December 2000</w:t>
      </w:r>
      <w:r w:rsidRPr="00D849AF">
        <w:rPr>
          <w:rFonts w:eastAsia="TT13FAo00"/>
          <w:sz w:val="20"/>
          <w:szCs w:val="20"/>
        </w:rPr>
        <w:t xml:space="preserve">, p. 12 // HLC webpage [electronic source] - </w:t>
      </w:r>
      <w:r w:rsidRPr="00D849AF">
        <w:rPr>
          <w:sz w:val="20"/>
          <w:szCs w:val="20"/>
        </w:rPr>
        <w:t>http://www.hlc-rdc.org/wp-content/uploads/2013/02/KO-Abductions-and-disappearances-of-non-Albanians-in-Kosovo-1.pdf (accessed on 12 December 2014).</w:t>
      </w:r>
    </w:p>
  </w:footnote>
  <w:footnote w:id="9">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12 December 2014.</w:t>
      </w:r>
      <w:proofErr w:type="gramEnd"/>
    </w:p>
  </w:footnote>
  <w:footnote w:id="10">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13 December 2014.</w:t>
      </w:r>
      <w:proofErr w:type="gramEnd"/>
    </w:p>
  </w:footnote>
  <w:footnote w:id="11">
    <w:p w:rsidR="00C6596E" w:rsidRPr="00D849AF" w:rsidRDefault="00C6596E" w:rsidP="00F533F0">
      <w:pPr>
        <w:pStyle w:val="FootnoteText"/>
        <w:jc w:val="both"/>
        <w:rPr>
          <w:rFonts w:ascii="Times New Roman" w:hAnsi="Times New Roman"/>
          <w:sz w:val="20"/>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w:t>
      </w:r>
      <w:r>
        <w:rPr>
          <w:rFonts w:ascii="Times New Roman" w:hAnsi="Times New Roman"/>
          <w:sz w:val="20"/>
        </w:rPr>
        <w:t>2</w:t>
      </w:r>
      <w:r w:rsidRPr="00D849AF">
        <w:rPr>
          <w:rFonts w:ascii="Times New Roman" w:hAnsi="Times New Roman"/>
          <w:sz w:val="20"/>
        </w:rPr>
        <w:t xml:space="preserve"> </w:t>
      </w:r>
      <w:r>
        <w:rPr>
          <w:rFonts w:ascii="Times New Roman" w:hAnsi="Times New Roman"/>
          <w:sz w:val="20"/>
        </w:rPr>
        <w:t>December</w:t>
      </w:r>
      <w:r w:rsidRPr="00D849AF">
        <w:rPr>
          <w:rFonts w:ascii="Times New Roman" w:hAnsi="Times New Roman"/>
          <w:sz w:val="20"/>
        </w:rPr>
        <w:t xml:space="preserve"> 2014.</w:t>
      </w:r>
      <w:proofErr w:type="gramEnd"/>
    </w:p>
  </w:footnote>
  <w:footnote w:id="12">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r w:rsidRPr="00D849AF">
        <w:rPr>
          <w:rFonts w:ascii="Times New Roman" w:hAnsi="Times New Roman"/>
          <w:sz w:val="20"/>
          <w:lang w:val="en-US"/>
        </w:rPr>
        <w:t>His name is spelled as “</w:t>
      </w:r>
      <w:proofErr w:type="spellStart"/>
      <w:r w:rsidRPr="00D849AF">
        <w:rPr>
          <w:rFonts w:ascii="Times New Roman" w:hAnsi="Times New Roman"/>
          <w:sz w:val="20"/>
          <w:lang w:val="en-US"/>
        </w:rPr>
        <w:t>Mico</w:t>
      </w:r>
      <w:proofErr w:type="spellEnd"/>
      <w:r w:rsidRPr="00D849AF">
        <w:rPr>
          <w:rFonts w:ascii="Times New Roman" w:hAnsi="Times New Roman"/>
          <w:sz w:val="20"/>
          <w:lang w:val="en-US"/>
        </w:rPr>
        <w:t>” in the electronic databases.</w:t>
      </w:r>
    </w:p>
  </w:footnote>
  <w:footnote w:id="13">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w:t>
      </w:r>
      <w:r>
        <w:rPr>
          <w:rFonts w:ascii="Times New Roman" w:hAnsi="Times New Roman"/>
          <w:sz w:val="20"/>
        </w:rPr>
        <w:t>2</w:t>
      </w:r>
      <w:r w:rsidRPr="00D849AF">
        <w:rPr>
          <w:rFonts w:ascii="Times New Roman" w:hAnsi="Times New Roman"/>
          <w:sz w:val="20"/>
        </w:rPr>
        <w:t xml:space="preserve"> </w:t>
      </w:r>
      <w:r>
        <w:rPr>
          <w:rFonts w:ascii="Times New Roman" w:hAnsi="Times New Roman"/>
          <w:sz w:val="20"/>
        </w:rPr>
        <w:t>December</w:t>
      </w:r>
      <w:r w:rsidRPr="00D849AF">
        <w:rPr>
          <w:rFonts w:ascii="Times New Roman" w:hAnsi="Times New Roman"/>
          <w:sz w:val="20"/>
        </w:rPr>
        <w:t xml:space="preserve"> 2014.</w:t>
      </w:r>
      <w:proofErr w:type="gramEnd"/>
    </w:p>
  </w:footnote>
  <w:footnote w:id="14">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w:t>
      </w:r>
      <w:r>
        <w:rPr>
          <w:rFonts w:ascii="Times New Roman" w:hAnsi="Times New Roman"/>
          <w:sz w:val="20"/>
        </w:rPr>
        <w:t>2</w:t>
      </w:r>
      <w:r w:rsidRPr="00D849AF">
        <w:rPr>
          <w:rFonts w:ascii="Times New Roman" w:hAnsi="Times New Roman"/>
          <w:sz w:val="20"/>
        </w:rPr>
        <w:t xml:space="preserve"> </w:t>
      </w:r>
      <w:r>
        <w:rPr>
          <w:rFonts w:ascii="Times New Roman" w:hAnsi="Times New Roman"/>
          <w:sz w:val="20"/>
        </w:rPr>
        <w:t>December</w:t>
      </w:r>
      <w:r w:rsidRPr="00D849AF">
        <w:rPr>
          <w:rFonts w:ascii="Times New Roman" w:hAnsi="Times New Roman"/>
          <w:sz w:val="20"/>
        </w:rPr>
        <w:t xml:space="preserve"> 2014.</w:t>
      </w:r>
      <w:proofErr w:type="gramEnd"/>
    </w:p>
  </w:footnote>
  <w:footnote w:id="15">
    <w:p w:rsidR="00C6596E" w:rsidRPr="00D849AF" w:rsidRDefault="00C6596E" w:rsidP="00F533F0">
      <w:pPr>
        <w:pStyle w:val="FootnoteText"/>
        <w:jc w:val="both"/>
        <w:rPr>
          <w:rFonts w:ascii="Times New Roman" w:hAnsi="Times New Roman"/>
          <w:sz w:val="20"/>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w:t>
      </w:r>
      <w:r>
        <w:rPr>
          <w:rFonts w:ascii="Times New Roman" w:hAnsi="Times New Roman"/>
          <w:sz w:val="20"/>
        </w:rPr>
        <w:t>2</w:t>
      </w:r>
      <w:r w:rsidRPr="00D849AF">
        <w:rPr>
          <w:rFonts w:ascii="Times New Roman" w:hAnsi="Times New Roman"/>
          <w:sz w:val="20"/>
        </w:rPr>
        <w:t xml:space="preserve"> </w:t>
      </w:r>
      <w:r>
        <w:rPr>
          <w:rFonts w:ascii="Times New Roman" w:hAnsi="Times New Roman"/>
          <w:sz w:val="20"/>
        </w:rPr>
        <w:t>December</w:t>
      </w:r>
      <w:r w:rsidRPr="00D849AF">
        <w:rPr>
          <w:rFonts w:ascii="Times New Roman" w:hAnsi="Times New Roman"/>
          <w:sz w:val="20"/>
        </w:rPr>
        <w:t xml:space="preserve"> 2014.</w:t>
      </w:r>
      <w:proofErr w:type="gramEnd"/>
    </w:p>
  </w:footnote>
  <w:footnote w:id="16">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r w:rsidRPr="00D849AF">
        <w:rPr>
          <w:rFonts w:ascii="Times New Roman" w:hAnsi="Times New Roman"/>
          <w:sz w:val="20"/>
          <w:lang w:val="en-US"/>
        </w:rPr>
        <w:t>The referred Article 142 of the Yugoslav Criminal Code (CCSFRY) established the death penalty for such crimes, which was at the time of the offence replaced by a long-term imprisonment up to 40 years. In turn, Articles 120-121 of the Provisional Criminal Code of Kosovo (PCCK) establishes a penalty of “at least five years, or a long-term imprisonment”.</w:t>
      </w:r>
    </w:p>
  </w:footnote>
  <w:footnote w:id="17">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Probably stands for the Criminal Law of Serbia.</w:t>
      </w:r>
    </w:p>
  </w:footnote>
  <w:footnote w:id="18">
    <w:p w:rsidR="00C6596E" w:rsidRPr="00D849AF" w:rsidRDefault="00C6596E" w:rsidP="00215AAA">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lang w:val="en-US"/>
        </w:rPr>
        <w:t xml:space="preserve"> A request for information on Mrs </w:t>
      </w:r>
      <w:proofErr w:type="spellStart"/>
      <w:r w:rsidRPr="00D849AF">
        <w:rPr>
          <w:rFonts w:ascii="Times New Roman" w:hAnsi="Times New Roman"/>
          <w:sz w:val="20"/>
          <w:lang w:val="en-US"/>
        </w:rPr>
        <w:t>Dragica</w:t>
      </w:r>
      <w:proofErr w:type="spellEnd"/>
      <w:r w:rsidRPr="00D849AF">
        <w:rPr>
          <w:rFonts w:ascii="Times New Roman" w:hAnsi="Times New Roman"/>
          <w:sz w:val="20"/>
          <w:lang w:val="en-US"/>
        </w:rPr>
        <w:t xml:space="preserve"> </w:t>
      </w:r>
      <w:proofErr w:type="spellStart"/>
      <w:r w:rsidRPr="00D849AF">
        <w:rPr>
          <w:rFonts w:ascii="Times New Roman" w:hAnsi="Times New Roman"/>
          <w:sz w:val="20"/>
          <w:lang w:val="en-US"/>
        </w:rPr>
        <w:t>Petricević’s</w:t>
      </w:r>
      <w:proofErr w:type="spellEnd"/>
      <w:r w:rsidRPr="00D849AF">
        <w:rPr>
          <w:rFonts w:ascii="Times New Roman" w:hAnsi="Times New Roman"/>
          <w:sz w:val="20"/>
          <w:lang w:val="en-US"/>
        </w:rPr>
        <w:t xml:space="preserve"> case was also sent to KFOR “West” by UNMIK Police. However, KFOR responded that, similarly to the matter of Mr </w:t>
      </w:r>
      <w:proofErr w:type="spellStart"/>
      <w:r w:rsidRPr="00D849AF">
        <w:rPr>
          <w:rFonts w:ascii="Times New Roman" w:hAnsi="Times New Roman"/>
          <w:sz w:val="20"/>
          <w:lang w:val="en-US"/>
        </w:rPr>
        <w:t>Milenko</w:t>
      </w:r>
      <w:proofErr w:type="spellEnd"/>
      <w:r w:rsidRPr="00D849AF">
        <w:rPr>
          <w:rFonts w:ascii="Times New Roman" w:hAnsi="Times New Roman"/>
          <w:sz w:val="20"/>
          <w:lang w:val="en-US"/>
        </w:rPr>
        <w:t xml:space="preserve"> </w:t>
      </w:r>
      <w:proofErr w:type="spellStart"/>
      <w:r w:rsidRPr="00D849AF">
        <w:rPr>
          <w:rFonts w:ascii="Times New Roman" w:hAnsi="Times New Roman"/>
          <w:sz w:val="20"/>
          <w:lang w:val="en-US"/>
        </w:rPr>
        <w:t>Kabaš</w:t>
      </w:r>
      <w:proofErr w:type="spellEnd"/>
      <w:r w:rsidRPr="00D849AF">
        <w:rPr>
          <w:rFonts w:ascii="Times New Roman" w:hAnsi="Times New Roman"/>
          <w:sz w:val="20"/>
          <w:lang w:val="en-US"/>
        </w:rPr>
        <w:t xml:space="preserve"> (see § </w:t>
      </w:r>
      <w:r>
        <w:fldChar w:fldCharType="begin"/>
      </w:r>
      <w:r>
        <w:instrText xml:space="preserve"> REF _Ref404778543 \r \h  \* MERGEFORMAT </w:instrText>
      </w:r>
      <w:r>
        <w:fldChar w:fldCharType="separate"/>
      </w:r>
      <w:r w:rsidR="00A35759" w:rsidRPr="00A35759">
        <w:rPr>
          <w:rFonts w:ascii="Times New Roman" w:hAnsi="Times New Roman"/>
          <w:sz w:val="20"/>
          <w:lang w:val="en-US"/>
        </w:rPr>
        <w:t>58</w:t>
      </w:r>
      <w:r>
        <w:fldChar w:fldCharType="end"/>
      </w:r>
      <w:r w:rsidRPr="00D849AF">
        <w:rPr>
          <w:rFonts w:ascii="Times New Roman" w:hAnsi="Times New Roman"/>
          <w:sz w:val="20"/>
          <w:lang w:val="en-US"/>
        </w:rPr>
        <w:t xml:space="preserve"> above), they only have information from the HLC.</w:t>
      </w:r>
    </w:p>
  </w:footnote>
  <w:footnote w:id="19">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r w:rsidRPr="00D849AF">
        <w:rPr>
          <w:rFonts w:ascii="Times New Roman" w:hAnsi="Times New Roman"/>
          <w:sz w:val="20"/>
          <w:lang w:val="en-US"/>
        </w:rPr>
        <w:t>The referred Article 142 of the CCSFRY established the death penalty for such crimes, which was at the time of the offence replaced by a long-term imprisonment up to 40 years. In turn, Articles 120-121 of the Provisional Criminal Code of Kosovo PCCK establishes a penalty of “at least five years, or a long-term imprisonment”.</w:t>
      </w:r>
    </w:p>
  </w:footnote>
  <w:footnote w:id="20">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Article 30 of the Criminal Law of Kosovo (CLK), as well as Article 146 of the PCCK clearly establish</w:t>
      </w:r>
      <w:proofErr w:type="gramEnd"/>
      <w:r w:rsidRPr="00D849AF">
        <w:rPr>
          <w:rFonts w:ascii="Times New Roman" w:hAnsi="Times New Roman"/>
          <w:sz w:val="20"/>
        </w:rPr>
        <w:t xml:space="preserve"> the penalty of “</w:t>
      </w:r>
      <w:r w:rsidRPr="00D849AF">
        <w:rPr>
          <w:rFonts w:ascii="Times New Roman" w:hAnsi="Times New Roman"/>
          <w:sz w:val="20"/>
          <w:lang w:val="en-US"/>
        </w:rPr>
        <w:t>at least five years” of imprisonment.</w:t>
      </w:r>
    </w:p>
  </w:footnote>
  <w:footnote w:id="21">
    <w:p w:rsidR="00C6596E" w:rsidRPr="00FD71FC"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r w:rsidRPr="00D849AF">
        <w:rPr>
          <w:rFonts w:ascii="Times New Roman" w:hAnsi="Times New Roman"/>
          <w:sz w:val="20"/>
          <w:lang w:val="en-US"/>
        </w:rPr>
        <w:t>See.: Monthly Summaries of Military and CIVPOL personnel deployed in current United Nations Operations as of 31/08/00 and 30/09/00 // Available on UN official website [electronic source] - http://www.un.org/en/peacekeeping/resources/statistics/contributors_archive.shtml (accessed on 15 October 2014).</w:t>
      </w:r>
    </w:p>
  </w:footnote>
  <w:footnote w:id="22">
    <w:p w:rsidR="00C6596E" w:rsidRPr="004E21CC" w:rsidRDefault="00C6596E" w:rsidP="00D635B9">
      <w:pPr>
        <w:pStyle w:val="FootnoteText"/>
        <w:jc w:val="both"/>
        <w:rPr>
          <w:rFonts w:ascii="Times New Roman" w:hAnsi="Times New Roman"/>
          <w:sz w:val="18"/>
          <w:szCs w:val="18"/>
          <w:lang w:val="en-US"/>
        </w:rPr>
      </w:pPr>
      <w:r w:rsidRPr="004E21CC">
        <w:rPr>
          <w:rStyle w:val="FootnoteReference"/>
          <w:rFonts w:ascii="Times New Roman" w:hAnsi="Times New Roman"/>
          <w:sz w:val="18"/>
          <w:szCs w:val="18"/>
        </w:rPr>
        <w:footnoteRef/>
      </w:r>
      <w:r>
        <w:rPr>
          <w:rFonts w:ascii="Times New Roman" w:hAnsi="Times New Roman"/>
          <w:sz w:val="18"/>
          <w:szCs w:val="18"/>
          <w:lang w:val="en-US"/>
        </w:rPr>
        <w:t xml:space="preserve"> </w:t>
      </w:r>
      <w:r w:rsidRPr="004E21CC">
        <w:rPr>
          <w:rFonts w:ascii="Times New Roman" w:hAnsi="Times New Roman"/>
          <w:sz w:val="18"/>
          <w:szCs w:val="18"/>
          <w:lang w:val="en-US"/>
        </w:rPr>
        <w:t xml:space="preserve">See: </w:t>
      </w:r>
      <w:r w:rsidRPr="004E21CC">
        <w:rPr>
          <w:rFonts w:ascii="Times New Roman" w:hAnsi="Times New Roman"/>
          <w:i/>
          <w:sz w:val="18"/>
          <w:szCs w:val="18"/>
          <w:lang w:val="en-US"/>
        </w:rPr>
        <w:t>Witness Security and Protection in Kosovo: Assessment and Recommendations,</w:t>
      </w:r>
      <w:r w:rsidRPr="004E21CC">
        <w:rPr>
          <w:rFonts w:ascii="Times New Roman" w:hAnsi="Times New Roman"/>
          <w:sz w:val="18"/>
          <w:szCs w:val="18"/>
          <w:lang w:val="en-US"/>
        </w:rPr>
        <w:t xml:space="preserve"> a report by the OSCE Mission in Kosovo and the US State Department, November 2007, p. 5 // EULEX official website [electronic source]: </w:t>
      </w:r>
      <w:r w:rsidRPr="00FF0BB5">
        <w:rPr>
          <w:rFonts w:ascii="Times New Roman" w:hAnsi="Times New Roman"/>
          <w:sz w:val="18"/>
          <w:szCs w:val="18"/>
          <w:lang w:val="en-US"/>
        </w:rPr>
        <w:t xml:space="preserve">http://www.osce.org/kosovo/28552 </w:t>
      </w:r>
      <w:r>
        <w:rPr>
          <w:rFonts w:ascii="Times New Roman" w:hAnsi="Times New Roman"/>
          <w:sz w:val="18"/>
          <w:szCs w:val="18"/>
          <w:lang w:val="en-US"/>
        </w:rPr>
        <w:t>(accessed on 14 December</w:t>
      </w:r>
      <w:r w:rsidRPr="004E21CC">
        <w:rPr>
          <w:rFonts w:ascii="Times New Roman" w:hAnsi="Times New Roman"/>
          <w:sz w:val="18"/>
          <w:szCs w:val="18"/>
          <w:lang w:val="en-US"/>
        </w:rPr>
        <w:t xml:space="preserve"> 2014</w:t>
      </w:r>
      <w:r>
        <w:rPr>
          <w:rFonts w:ascii="Times New Roman" w:hAnsi="Times New Roman"/>
          <w:sz w:val="18"/>
          <w:szCs w:val="18"/>
          <w:lang w:val="en-US"/>
        </w:rPr>
        <w:t>)</w:t>
      </w:r>
      <w:r w:rsidRPr="004E21CC">
        <w:rPr>
          <w:rFonts w:ascii="Times New Roman" w:hAnsi="Times New Roman"/>
          <w:sz w:val="18"/>
          <w:szCs w:val="18"/>
          <w:lang w:val="en-US"/>
        </w:rPr>
        <w:t>.</w:t>
      </w:r>
    </w:p>
  </w:footnote>
  <w:footnote w:id="23">
    <w:p w:rsidR="00C6596E" w:rsidRPr="00CE5E7E" w:rsidRDefault="00C6596E" w:rsidP="00D635B9">
      <w:pPr>
        <w:pStyle w:val="FootnoteText"/>
        <w:jc w:val="both"/>
        <w:rPr>
          <w:rFonts w:ascii="Times New Roman" w:hAnsi="Times New Roman"/>
          <w:sz w:val="20"/>
          <w:lang w:val="en-US"/>
        </w:rPr>
      </w:pPr>
      <w:r w:rsidRPr="004E21CC">
        <w:rPr>
          <w:rStyle w:val="FootnoteReference"/>
          <w:rFonts w:ascii="Times New Roman" w:hAnsi="Times New Roman"/>
          <w:sz w:val="18"/>
          <w:szCs w:val="18"/>
        </w:rPr>
        <w:footnoteRef/>
      </w:r>
      <w:r w:rsidRPr="004E21CC">
        <w:rPr>
          <w:rFonts w:ascii="Times New Roman" w:hAnsi="Times New Roman"/>
          <w:sz w:val="18"/>
          <w:szCs w:val="18"/>
        </w:rPr>
        <w:t xml:space="preserve">See: </w:t>
      </w:r>
      <w:r w:rsidRPr="004E21CC">
        <w:rPr>
          <w:rFonts w:ascii="Times New Roman" w:hAnsi="Times New Roman"/>
          <w:sz w:val="18"/>
          <w:szCs w:val="18"/>
          <w:lang w:val="en-US"/>
        </w:rPr>
        <w:t xml:space="preserve">Kosovo </w:t>
      </w:r>
      <w:r w:rsidRPr="004E21CC">
        <w:rPr>
          <w:rFonts w:ascii="Times New Roman" w:hAnsi="Times New Roman"/>
          <w:i/>
          <w:sz w:val="18"/>
          <w:szCs w:val="18"/>
          <w:lang w:val="en-US"/>
        </w:rPr>
        <w:t>War Crimes Trials: An Assessment Ten Years On 1999 – 2009</w:t>
      </w:r>
      <w:r w:rsidRPr="004E21CC">
        <w:rPr>
          <w:rFonts w:ascii="Times New Roman" w:hAnsi="Times New Roman"/>
          <w:sz w:val="18"/>
          <w:szCs w:val="18"/>
          <w:lang w:val="en-US"/>
        </w:rPr>
        <w:t>, a report by the OSCE Mission in Kosovo, May 2010, p. 5 // OSCE official website [electronic source]:</w:t>
      </w:r>
      <w:r w:rsidRPr="004E21CC">
        <w:rPr>
          <w:sz w:val="18"/>
          <w:szCs w:val="18"/>
        </w:rPr>
        <w:t xml:space="preserve"> </w:t>
      </w:r>
      <w:r w:rsidRPr="004E21CC">
        <w:rPr>
          <w:rFonts w:ascii="Times New Roman" w:hAnsi="Times New Roman"/>
          <w:sz w:val="18"/>
          <w:szCs w:val="18"/>
          <w:lang w:val="en-US"/>
        </w:rPr>
        <w:t xml:space="preserve">http://www.osce.org/kosovo/68569 </w:t>
      </w:r>
      <w:r>
        <w:rPr>
          <w:rFonts w:ascii="Times New Roman" w:hAnsi="Times New Roman"/>
          <w:sz w:val="18"/>
          <w:szCs w:val="18"/>
          <w:lang w:val="en-US"/>
        </w:rPr>
        <w:t>(accessed on 14 December</w:t>
      </w:r>
      <w:r w:rsidRPr="004E21CC">
        <w:rPr>
          <w:rFonts w:ascii="Times New Roman" w:hAnsi="Times New Roman"/>
          <w:sz w:val="18"/>
          <w:szCs w:val="18"/>
          <w:lang w:val="en-US"/>
        </w:rPr>
        <w:t xml:space="preserve"> 2014</w:t>
      </w:r>
      <w:r>
        <w:rPr>
          <w:rFonts w:ascii="Times New Roman" w:hAnsi="Times New Roman"/>
          <w:sz w:val="18"/>
          <w:szCs w:val="18"/>
          <w:lang w:val="en-US"/>
        </w:rPr>
        <w:t>)</w:t>
      </w:r>
      <w:r w:rsidRPr="004E21CC">
        <w:rPr>
          <w:rFonts w:ascii="Times New Roman" w:hAnsi="Times New Roman"/>
          <w:sz w:val="18"/>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6E" w:rsidRPr="000722CE" w:rsidRDefault="00C6596E">
    <w:pPr>
      <w:pStyle w:val="Header"/>
      <w:jc w:val="right"/>
      <w:rPr>
        <w:sz w:val="20"/>
        <w:szCs w:val="20"/>
      </w:rPr>
    </w:pPr>
    <w:r w:rsidRPr="000722CE">
      <w:rPr>
        <w:sz w:val="20"/>
        <w:szCs w:val="20"/>
      </w:rPr>
      <w:fldChar w:fldCharType="begin"/>
    </w:r>
    <w:r w:rsidRPr="000722CE">
      <w:rPr>
        <w:sz w:val="20"/>
        <w:szCs w:val="20"/>
      </w:rPr>
      <w:instrText xml:space="preserve"> </w:instrText>
    </w:r>
    <w:r>
      <w:rPr>
        <w:sz w:val="20"/>
        <w:szCs w:val="20"/>
      </w:rPr>
      <w:instrText>PAGE</w:instrText>
    </w:r>
    <w:r w:rsidRPr="000722CE">
      <w:rPr>
        <w:sz w:val="20"/>
        <w:szCs w:val="20"/>
      </w:rPr>
      <w:instrText xml:space="preserve">   \* MERGEFORMAT </w:instrText>
    </w:r>
    <w:r w:rsidRPr="000722CE">
      <w:rPr>
        <w:sz w:val="20"/>
        <w:szCs w:val="20"/>
      </w:rPr>
      <w:fldChar w:fldCharType="separate"/>
    </w:r>
    <w:r w:rsidR="00DB57AA">
      <w:rPr>
        <w:noProof/>
        <w:sz w:val="20"/>
        <w:szCs w:val="20"/>
      </w:rPr>
      <w:t>2</w:t>
    </w:r>
    <w:r w:rsidRPr="000722CE">
      <w:rPr>
        <w:sz w:val="20"/>
        <w:szCs w:val="20"/>
      </w:rPr>
      <w:fldChar w:fldCharType="end"/>
    </w:r>
  </w:p>
  <w:p w:rsidR="00C6596E" w:rsidRDefault="00C659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5FC3"/>
    <w:multiLevelType w:val="hybridMultilevel"/>
    <w:tmpl w:val="D97E5776"/>
    <w:lvl w:ilvl="0" w:tplc="181673FA">
      <w:start w:val="3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9EF485E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83272"/>
    <w:multiLevelType w:val="hybridMultilevel"/>
    <w:tmpl w:val="C50E45C6"/>
    <w:lvl w:ilvl="0" w:tplc="70A02FBA">
      <w:start w:val="1"/>
      <w:numFmt w:val="decimal"/>
      <w:lvlText w:val="%1."/>
      <w:lvlJc w:val="left"/>
      <w:pPr>
        <w:tabs>
          <w:tab w:val="num" w:pos="360"/>
        </w:tabs>
        <w:ind w:left="360" w:hanging="360"/>
      </w:pPr>
      <w:rPr>
        <w:rFonts w:cs="Times New Roman" w:hint="default"/>
        <w:b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15C22F3"/>
    <w:multiLevelType w:val="hybridMultilevel"/>
    <w:tmpl w:val="19203B24"/>
    <w:lvl w:ilvl="0" w:tplc="5D2CFDF2">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1A2C42EA"/>
    <w:multiLevelType w:val="hybridMultilevel"/>
    <w:tmpl w:val="4A9CA2D4"/>
    <w:lvl w:ilvl="0" w:tplc="38266484">
      <w:start w:val="1"/>
      <w:numFmt w:val="decimal"/>
      <w:lvlText w:val="%1."/>
      <w:lvlJc w:val="left"/>
      <w:pPr>
        <w:ind w:left="405" w:hanging="40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6E0B84"/>
    <w:multiLevelType w:val="hybridMultilevel"/>
    <w:tmpl w:val="F7F64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41526C"/>
    <w:multiLevelType w:val="hybridMultilevel"/>
    <w:tmpl w:val="E9480C64"/>
    <w:lvl w:ilvl="0" w:tplc="93CA55D2">
      <w:start w:val="1"/>
      <w:numFmt w:val="decimal"/>
      <w:lvlText w:val="%1."/>
      <w:lvlJc w:val="left"/>
      <w:pPr>
        <w:tabs>
          <w:tab w:val="num" w:pos="810"/>
        </w:tabs>
        <w:ind w:left="81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A47C47"/>
    <w:multiLevelType w:val="hybridMultilevel"/>
    <w:tmpl w:val="7C066558"/>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C590FD1"/>
    <w:multiLevelType w:val="hybridMultilevel"/>
    <w:tmpl w:val="119E23D6"/>
    <w:lvl w:ilvl="0" w:tplc="3EF82F9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D27A0F"/>
    <w:multiLevelType w:val="hybridMultilevel"/>
    <w:tmpl w:val="10E235F6"/>
    <w:lvl w:ilvl="0" w:tplc="94B0B082">
      <w:start w:val="1"/>
      <w:numFmt w:val="decimal"/>
      <w:lvlText w:val="%1."/>
      <w:lvlJc w:val="left"/>
      <w:pPr>
        <w:ind w:left="720" w:hanging="360"/>
      </w:pPr>
      <w:rPr>
        <w:rFonts w:hint="default"/>
        <w:b w:val="0"/>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4262D2"/>
    <w:multiLevelType w:val="hybridMultilevel"/>
    <w:tmpl w:val="9C6677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3190E98"/>
    <w:multiLevelType w:val="hybridMultilevel"/>
    <w:tmpl w:val="CB668CF4"/>
    <w:lvl w:ilvl="0" w:tplc="E9AAB7D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678238AE"/>
    <w:multiLevelType w:val="hybridMultilevel"/>
    <w:tmpl w:val="89E8F198"/>
    <w:lvl w:ilvl="0" w:tplc="484C125A">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6D0A8C"/>
    <w:multiLevelType w:val="hybridMultilevel"/>
    <w:tmpl w:val="2A3A3F26"/>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BBB057F"/>
    <w:multiLevelType w:val="hybridMultilevel"/>
    <w:tmpl w:val="463E2582"/>
    <w:lvl w:ilvl="0" w:tplc="E0B29EC8">
      <w:start w:val="1"/>
      <w:numFmt w:val="decimal"/>
      <w:lvlText w:val="%1."/>
      <w:lvlJc w:val="left"/>
      <w:pPr>
        <w:tabs>
          <w:tab w:val="num" w:pos="360"/>
        </w:tabs>
        <w:ind w:left="360" w:hanging="360"/>
      </w:pPr>
      <w:rPr>
        <w:rFonts w:hint="default"/>
        <w:b w:val="0"/>
        <w:i w:val="0"/>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7">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9039FF"/>
    <w:multiLevelType w:val="hybridMultilevel"/>
    <w:tmpl w:val="9F063282"/>
    <w:lvl w:ilvl="0" w:tplc="310CEEA2">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F1EEE9D4">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9"/>
  </w:num>
  <w:num w:numId="4">
    <w:abstractNumId w:val="7"/>
  </w:num>
  <w:num w:numId="5">
    <w:abstractNumId w:val="5"/>
  </w:num>
  <w:num w:numId="6">
    <w:abstractNumId w:val="6"/>
  </w:num>
  <w:num w:numId="7">
    <w:abstractNumId w:val="0"/>
  </w:num>
  <w:num w:numId="8">
    <w:abstractNumId w:val="3"/>
  </w:num>
  <w:num w:numId="9">
    <w:abstractNumId w:val="13"/>
  </w:num>
  <w:num w:numId="10">
    <w:abstractNumId w:val="10"/>
  </w:num>
  <w:num w:numId="11">
    <w:abstractNumId w:val="15"/>
  </w:num>
  <w:num w:numId="12">
    <w:abstractNumId w:val="8"/>
  </w:num>
  <w:num w:numId="13">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
  </w:num>
  <w:num w:numId="16">
    <w:abstractNumId w:val="4"/>
  </w:num>
  <w:num w:numId="17">
    <w:abstractNumId w:val="12"/>
  </w:num>
  <w:num w:numId="18">
    <w:abstractNumId w:val="14"/>
  </w:num>
  <w:num w:numId="19">
    <w:abstractNumId w:val="2"/>
  </w:num>
  <w:num w:numId="20">
    <w:abstractNumId w:val="16"/>
  </w:num>
  <w:num w:numId="2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43BC"/>
    <w:rsid w:val="0000536C"/>
    <w:rsid w:val="000055B6"/>
    <w:rsid w:val="00006139"/>
    <w:rsid w:val="000061CB"/>
    <w:rsid w:val="0000633A"/>
    <w:rsid w:val="00010D00"/>
    <w:rsid w:val="00011DC3"/>
    <w:rsid w:val="00014607"/>
    <w:rsid w:val="00014FDE"/>
    <w:rsid w:val="0001545E"/>
    <w:rsid w:val="0002123B"/>
    <w:rsid w:val="000217DC"/>
    <w:rsid w:val="00021F39"/>
    <w:rsid w:val="0002441F"/>
    <w:rsid w:val="000253E8"/>
    <w:rsid w:val="00025BD8"/>
    <w:rsid w:val="00025D67"/>
    <w:rsid w:val="0002675E"/>
    <w:rsid w:val="000267DF"/>
    <w:rsid w:val="000300C8"/>
    <w:rsid w:val="000306ED"/>
    <w:rsid w:val="00033882"/>
    <w:rsid w:val="0003559B"/>
    <w:rsid w:val="00035B1E"/>
    <w:rsid w:val="0004198A"/>
    <w:rsid w:val="0004234D"/>
    <w:rsid w:val="00042ADA"/>
    <w:rsid w:val="00043579"/>
    <w:rsid w:val="00045A7E"/>
    <w:rsid w:val="000474AA"/>
    <w:rsid w:val="00047CFD"/>
    <w:rsid w:val="00050888"/>
    <w:rsid w:val="00051D3B"/>
    <w:rsid w:val="00051EBE"/>
    <w:rsid w:val="00053F48"/>
    <w:rsid w:val="00054459"/>
    <w:rsid w:val="000565C8"/>
    <w:rsid w:val="00057B23"/>
    <w:rsid w:val="00060474"/>
    <w:rsid w:val="000609C4"/>
    <w:rsid w:val="00060C31"/>
    <w:rsid w:val="0006189F"/>
    <w:rsid w:val="00064E34"/>
    <w:rsid w:val="00064F90"/>
    <w:rsid w:val="00066ACE"/>
    <w:rsid w:val="00066E3F"/>
    <w:rsid w:val="000677DB"/>
    <w:rsid w:val="00070B7B"/>
    <w:rsid w:val="000722CE"/>
    <w:rsid w:val="00073093"/>
    <w:rsid w:val="000736D4"/>
    <w:rsid w:val="000738A0"/>
    <w:rsid w:val="00073F8C"/>
    <w:rsid w:val="00075D74"/>
    <w:rsid w:val="00075FC9"/>
    <w:rsid w:val="00076094"/>
    <w:rsid w:val="0007798C"/>
    <w:rsid w:val="00077DE9"/>
    <w:rsid w:val="00077E11"/>
    <w:rsid w:val="0008098F"/>
    <w:rsid w:val="00080AAB"/>
    <w:rsid w:val="00081A1F"/>
    <w:rsid w:val="00081B9A"/>
    <w:rsid w:val="00082066"/>
    <w:rsid w:val="00082598"/>
    <w:rsid w:val="00082735"/>
    <w:rsid w:val="00082815"/>
    <w:rsid w:val="00082C29"/>
    <w:rsid w:val="00083F45"/>
    <w:rsid w:val="00084D5A"/>
    <w:rsid w:val="00084E3F"/>
    <w:rsid w:val="0008599D"/>
    <w:rsid w:val="000870C4"/>
    <w:rsid w:val="000875E1"/>
    <w:rsid w:val="00090FA4"/>
    <w:rsid w:val="00091C7E"/>
    <w:rsid w:val="0009345C"/>
    <w:rsid w:val="000943E3"/>
    <w:rsid w:val="00094FA3"/>
    <w:rsid w:val="000A233E"/>
    <w:rsid w:val="000A3A7D"/>
    <w:rsid w:val="000A4C40"/>
    <w:rsid w:val="000A7439"/>
    <w:rsid w:val="000B1FE4"/>
    <w:rsid w:val="000B242C"/>
    <w:rsid w:val="000B2AF0"/>
    <w:rsid w:val="000B3F6A"/>
    <w:rsid w:val="000B40D7"/>
    <w:rsid w:val="000B456A"/>
    <w:rsid w:val="000B46F6"/>
    <w:rsid w:val="000B51F2"/>
    <w:rsid w:val="000B5C31"/>
    <w:rsid w:val="000B5FA8"/>
    <w:rsid w:val="000C1973"/>
    <w:rsid w:val="000C30FB"/>
    <w:rsid w:val="000C6747"/>
    <w:rsid w:val="000C6D46"/>
    <w:rsid w:val="000C7114"/>
    <w:rsid w:val="000C76D8"/>
    <w:rsid w:val="000C7B8E"/>
    <w:rsid w:val="000D0543"/>
    <w:rsid w:val="000D0C3A"/>
    <w:rsid w:val="000D1326"/>
    <w:rsid w:val="000D168C"/>
    <w:rsid w:val="000D247F"/>
    <w:rsid w:val="000D3554"/>
    <w:rsid w:val="000D4484"/>
    <w:rsid w:val="000D49B3"/>
    <w:rsid w:val="000D59E7"/>
    <w:rsid w:val="000D5BCF"/>
    <w:rsid w:val="000D6E74"/>
    <w:rsid w:val="000D7BDA"/>
    <w:rsid w:val="000E0DF4"/>
    <w:rsid w:val="000E12A4"/>
    <w:rsid w:val="000E12B1"/>
    <w:rsid w:val="000E215B"/>
    <w:rsid w:val="000E23B6"/>
    <w:rsid w:val="000E4712"/>
    <w:rsid w:val="000E6180"/>
    <w:rsid w:val="000E6484"/>
    <w:rsid w:val="000E7BBA"/>
    <w:rsid w:val="000F1AC8"/>
    <w:rsid w:val="000F2C19"/>
    <w:rsid w:val="000F5792"/>
    <w:rsid w:val="000F697D"/>
    <w:rsid w:val="000F7E70"/>
    <w:rsid w:val="000F7ED5"/>
    <w:rsid w:val="001003BC"/>
    <w:rsid w:val="0010071F"/>
    <w:rsid w:val="001018B0"/>
    <w:rsid w:val="00102154"/>
    <w:rsid w:val="00102BB7"/>
    <w:rsid w:val="00104F6F"/>
    <w:rsid w:val="0010596B"/>
    <w:rsid w:val="00106AA0"/>
    <w:rsid w:val="00107B1D"/>
    <w:rsid w:val="0011032F"/>
    <w:rsid w:val="001108A1"/>
    <w:rsid w:val="00112756"/>
    <w:rsid w:val="00114F9F"/>
    <w:rsid w:val="00120497"/>
    <w:rsid w:val="0012283B"/>
    <w:rsid w:val="00123366"/>
    <w:rsid w:val="001279D7"/>
    <w:rsid w:val="0013465C"/>
    <w:rsid w:val="001350FB"/>
    <w:rsid w:val="001400F6"/>
    <w:rsid w:val="001403C2"/>
    <w:rsid w:val="001416CD"/>
    <w:rsid w:val="001426ED"/>
    <w:rsid w:val="0014335B"/>
    <w:rsid w:val="001434AA"/>
    <w:rsid w:val="001449C9"/>
    <w:rsid w:val="001459DC"/>
    <w:rsid w:val="00147513"/>
    <w:rsid w:val="00150ED9"/>
    <w:rsid w:val="001511C5"/>
    <w:rsid w:val="001512A5"/>
    <w:rsid w:val="001530BE"/>
    <w:rsid w:val="00153694"/>
    <w:rsid w:val="00154829"/>
    <w:rsid w:val="001556BA"/>
    <w:rsid w:val="001564CC"/>
    <w:rsid w:val="0016154E"/>
    <w:rsid w:val="00162E57"/>
    <w:rsid w:val="00163F21"/>
    <w:rsid w:val="00164374"/>
    <w:rsid w:val="00164407"/>
    <w:rsid w:val="00164F90"/>
    <w:rsid w:val="0016631D"/>
    <w:rsid w:val="00167BC8"/>
    <w:rsid w:val="00170B3E"/>
    <w:rsid w:val="001727C1"/>
    <w:rsid w:val="00173C3A"/>
    <w:rsid w:val="00173F75"/>
    <w:rsid w:val="0017456A"/>
    <w:rsid w:val="00175848"/>
    <w:rsid w:val="001775CF"/>
    <w:rsid w:val="0018048F"/>
    <w:rsid w:val="001817A9"/>
    <w:rsid w:val="00181CA1"/>
    <w:rsid w:val="001830F2"/>
    <w:rsid w:val="0018424E"/>
    <w:rsid w:val="00184968"/>
    <w:rsid w:val="001852D9"/>
    <w:rsid w:val="0019049B"/>
    <w:rsid w:val="001919EA"/>
    <w:rsid w:val="00191D9F"/>
    <w:rsid w:val="00192751"/>
    <w:rsid w:val="00192AA5"/>
    <w:rsid w:val="00194191"/>
    <w:rsid w:val="00194800"/>
    <w:rsid w:val="00195CB7"/>
    <w:rsid w:val="00195EEA"/>
    <w:rsid w:val="00196BB2"/>
    <w:rsid w:val="0019774C"/>
    <w:rsid w:val="001A08B0"/>
    <w:rsid w:val="001A0E71"/>
    <w:rsid w:val="001A43F5"/>
    <w:rsid w:val="001A6816"/>
    <w:rsid w:val="001A7EB1"/>
    <w:rsid w:val="001B0A11"/>
    <w:rsid w:val="001B241F"/>
    <w:rsid w:val="001B245B"/>
    <w:rsid w:val="001B3414"/>
    <w:rsid w:val="001B44B7"/>
    <w:rsid w:val="001B4620"/>
    <w:rsid w:val="001B4F35"/>
    <w:rsid w:val="001B79AB"/>
    <w:rsid w:val="001B7DCC"/>
    <w:rsid w:val="001B7E46"/>
    <w:rsid w:val="001B7E92"/>
    <w:rsid w:val="001C086C"/>
    <w:rsid w:val="001C0F0F"/>
    <w:rsid w:val="001C2229"/>
    <w:rsid w:val="001C25CD"/>
    <w:rsid w:val="001C2915"/>
    <w:rsid w:val="001C7357"/>
    <w:rsid w:val="001C73CD"/>
    <w:rsid w:val="001D408F"/>
    <w:rsid w:val="001D45F5"/>
    <w:rsid w:val="001D5C90"/>
    <w:rsid w:val="001D6158"/>
    <w:rsid w:val="001D6AF7"/>
    <w:rsid w:val="001D7B73"/>
    <w:rsid w:val="001D7DA8"/>
    <w:rsid w:val="001E02B9"/>
    <w:rsid w:val="001E1C63"/>
    <w:rsid w:val="001E2A7D"/>
    <w:rsid w:val="001E3A96"/>
    <w:rsid w:val="001E4597"/>
    <w:rsid w:val="001E7047"/>
    <w:rsid w:val="001E7082"/>
    <w:rsid w:val="001E7A6D"/>
    <w:rsid w:val="001F077E"/>
    <w:rsid w:val="001F083D"/>
    <w:rsid w:val="001F1FF3"/>
    <w:rsid w:val="001F240E"/>
    <w:rsid w:val="001F3027"/>
    <w:rsid w:val="001F3C49"/>
    <w:rsid w:val="001F5282"/>
    <w:rsid w:val="001F5BEA"/>
    <w:rsid w:val="00201B8E"/>
    <w:rsid w:val="00201BF2"/>
    <w:rsid w:val="00201CB5"/>
    <w:rsid w:val="002027D0"/>
    <w:rsid w:val="00203109"/>
    <w:rsid w:val="0020313F"/>
    <w:rsid w:val="0020354D"/>
    <w:rsid w:val="00203FF4"/>
    <w:rsid w:val="002048DB"/>
    <w:rsid w:val="0020680D"/>
    <w:rsid w:val="002074D2"/>
    <w:rsid w:val="00207EF6"/>
    <w:rsid w:val="0021135E"/>
    <w:rsid w:val="0021148C"/>
    <w:rsid w:val="002119C2"/>
    <w:rsid w:val="00211B72"/>
    <w:rsid w:val="002127E0"/>
    <w:rsid w:val="00213940"/>
    <w:rsid w:val="00215AAA"/>
    <w:rsid w:val="00215EA8"/>
    <w:rsid w:val="00216D69"/>
    <w:rsid w:val="00216D76"/>
    <w:rsid w:val="0022273C"/>
    <w:rsid w:val="00222D2F"/>
    <w:rsid w:val="0022348D"/>
    <w:rsid w:val="0022428A"/>
    <w:rsid w:val="00224E40"/>
    <w:rsid w:val="00225992"/>
    <w:rsid w:val="00225B66"/>
    <w:rsid w:val="00225BAB"/>
    <w:rsid w:val="00226B37"/>
    <w:rsid w:val="00227B38"/>
    <w:rsid w:val="00230E7E"/>
    <w:rsid w:val="00231EE6"/>
    <w:rsid w:val="0023308F"/>
    <w:rsid w:val="00235080"/>
    <w:rsid w:val="0023537F"/>
    <w:rsid w:val="0023601C"/>
    <w:rsid w:val="0023644A"/>
    <w:rsid w:val="00236471"/>
    <w:rsid w:val="002368BB"/>
    <w:rsid w:val="00237FE0"/>
    <w:rsid w:val="002416B7"/>
    <w:rsid w:val="00241D86"/>
    <w:rsid w:val="00241F89"/>
    <w:rsid w:val="00241FF9"/>
    <w:rsid w:val="00242DE6"/>
    <w:rsid w:val="00242F9E"/>
    <w:rsid w:val="0024522D"/>
    <w:rsid w:val="00245E49"/>
    <w:rsid w:val="002473B8"/>
    <w:rsid w:val="002524AF"/>
    <w:rsid w:val="0025400A"/>
    <w:rsid w:val="00255FC2"/>
    <w:rsid w:val="00261D7F"/>
    <w:rsid w:val="00262B44"/>
    <w:rsid w:val="00263BBD"/>
    <w:rsid w:val="00263ED3"/>
    <w:rsid w:val="0026408E"/>
    <w:rsid w:val="0027069B"/>
    <w:rsid w:val="002709F7"/>
    <w:rsid w:val="00270A0B"/>
    <w:rsid w:val="00270A61"/>
    <w:rsid w:val="002713B8"/>
    <w:rsid w:val="00272D5D"/>
    <w:rsid w:val="00273AD3"/>
    <w:rsid w:val="0027438C"/>
    <w:rsid w:val="002745D6"/>
    <w:rsid w:val="002746C1"/>
    <w:rsid w:val="00274A36"/>
    <w:rsid w:val="00275030"/>
    <w:rsid w:val="00281FB3"/>
    <w:rsid w:val="00282B46"/>
    <w:rsid w:val="002838FC"/>
    <w:rsid w:val="00286059"/>
    <w:rsid w:val="002862A3"/>
    <w:rsid w:val="0028771F"/>
    <w:rsid w:val="00287CA7"/>
    <w:rsid w:val="00287D55"/>
    <w:rsid w:val="00290A6B"/>
    <w:rsid w:val="002914A6"/>
    <w:rsid w:val="0029153D"/>
    <w:rsid w:val="00291D60"/>
    <w:rsid w:val="00292DD1"/>
    <w:rsid w:val="00292F3E"/>
    <w:rsid w:val="002930D4"/>
    <w:rsid w:val="00293CD3"/>
    <w:rsid w:val="00294415"/>
    <w:rsid w:val="00296753"/>
    <w:rsid w:val="00296C0B"/>
    <w:rsid w:val="002A084E"/>
    <w:rsid w:val="002A0CC8"/>
    <w:rsid w:val="002A18D6"/>
    <w:rsid w:val="002A4970"/>
    <w:rsid w:val="002A77CB"/>
    <w:rsid w:val="002A7D1A"/>
    <w:rsid w:val="002B1686"/>
    <w:rsid w:val="002B2F4A"/>
    <w:rsid w:val="002B3F00"/>
    <w:rsid w:val="002B4AD5"/>
    <w:rsid w:val="002B62D1"/>
    <w:rsid w:val="002B78FC"/>
    <w:rsid w:val="002B7CFB"/>
    <w:rsid w:val="002C03BD"/>
    <w:rsid w:val="002C31D4"/>
    <w:rsid w:val="002C6D03"/>
    <w:rsid w:val="002C6D48"/>
    <w:rsid w:val="002D13E5"/>
    <w:rsid w:val="002D3124"/>
    <w:rsid w:val="002D4761"/>
    <w:rsid w:val="002D7E07"/>
    <w:rsid w:val="002E00F3"/>
    <w:rsid w:val="002E0682"/>
    <w:rsid w:val="002E175D"/>
    <w:rsid w:val="002E1AC9"/>
    <w:rsid w:val="002E1F12"/>
    <w:rsid w:val="002E24BF"/>
    <w:rsid w:val="002E256E"/>
    <w:rsid w:val="002E4304"/>
    <w:rsid w:val="002E4F89"/>
    <w:rsid w:val="002E5E9E"/>
    <w:rsid w:val="002E5F93"/>
    <w:rsid w:val="002E6AC3"/>
    <w:rsid w:val="002E6FFB"/>
    <w:rsid w:val="002E7743"/>
    <w:rsid w:val="002F16F5"/>
    <w:rsid w:val="002F1EDB"/>
    <w:rsid w:val="002F29D4"/>
    <w:rsid w:val="002F5D36"/>
    <w:rsid w:val="002F63F0"/>
    <w:rsid w:val="002F655D"/>
    <w:rsid w:val="002F739D"/>
    <w:rsid w:val="00300DB4"/>
    <w:rsid w:val="003017F3"/>
    <w:rsid w:val="003032C7"/>
    <w:rsid w:val="0030386E"/>
    <w:rsid w:val="00304786"/>
    <w:rsid w:val="00304D18"/>
    <w:rsid w:val="00304E22"/>
    <w:rsid w:val="00304F93"/>
    <w:rsid w:val="00305A83"/>
    <w:rsid w:val="00306F9A"/>
    <w:rsid w:val="00310F91"/>
    <w:rsid w:val="0031189E"/>
    <w:rsid w:val="00312441"/>
    <w:rsid w:val="00313424"/>
    <w:rsid w:val="00314EAB"/>
    <w:rsid w:val="00317433"/>
    <w:rsid w:val="00320180"/>
    <w:rsid w:val="00323223"/>
    <w:rsid w:val="00326663"/>
    <w:rsid w:val="00330A83"/>
    <w:rsid w:val="0033199F"/>
    <w:rsid w:val="003324DB"/>
    <w:rsid w:val="003332A3"/>
    <w:rsid w:val="00333830"/>
    <w:rsid w:val="00333CD6"/>
    <w:rsid w:val="0034197F"/>
    <w:rsid w:val="00343E18"/>
    <w:rsid w:val="00343F54"/>
    <w:rsid w:val="00343F68"/>
    <w:rsid w:val="003449C9"/>
    <w:rsid w:val="0034578C"/>
    <w:rsid w:val="00346585"/>
    <w:rsid w:val="00346627"/>
    <w:rsid w:val="003467DC"/>
    <w:rsid w:val="003472C6"/>
    <w:rsid w:val="00350C81"/>
    <w:rsid w:val="003511BE"/>
    <w:rsid w:val="00351324"/>
    <w:rsid w:val="00351429"/>
    <w:rsid w:val="00351D75"/>
    <w:rsid w:val="00351E98"/>
    <w:rsid w:val="0035324A"/>
    <w:rsid w:val="00354676"/>
    <w:rsid w:val="00355D3F"/>
    <w:rsid w:val="0035788B"/>
    <w:rsid w:val="00361105"/>
    <w:rsid w:val="00361768"/>
    <w:rsid w:val="003618D3"/>
    <w:rsid w:val="00362F4A"/>
    <w:rsid w:val="00364AC9"/>
    <w:rsid w:val="00372A92"/>
    <w:rsid w:val="0037359C"/>
    <w:rsid w:val="0037385F"/>
    <w:rsid w:val="003744F7"/>
    <w:rsid w:val="00374970"/>
    <w:rsid w:val="0037719A"/>
    <w:rsid w:val="003778B8"/>
    <w:rsid w:val="00377C18"/>
    <w:rsid w:val="00381396"/>
    <w:rsid w:val="003819D0"/>
    <w:rsid w:val="0038203A"/>
    <w:rsid w:val="0038216C"/>
    <w:rsid w:val="00382DFF"/>
    <w:rsid w:val="0038424B"/>
    <w:rsid w:val="00385C7B"/>
    <w:rsid w:val="00385E44"/>
    <w:rsid w:val="003870E4"/>
    <w:rsid w:val="00387BFC"/>
    <w:rsid w:val="003906FF"/>
    <w:rsid w:val="00390ACB"/>
    <w:rsid w:val="003936AC"/>
    <w:rsid w:val="00393E8D"/>
    <w:rsid w:val="00394C35"/>
    <w:rsid w:val="0039611D"/>
    <w:rsid w:val="00396222"/>
    <w:rsid w:val="003967C3"/>
    <w:rsid w:val="003A03A5"/>
    <w:rsid w:val="003A2132"/>
    <w:rsid w:val="003A2426"/>
    <w:rsid w:val="003A60E0"/>
    <w:rsid w:val="003A6CA6"/>
    <w:rsid w:val="003B0CAE"/>
    <w:rsid w:val="003B1C80"/>
    <w:rsid w:val="003B2010"/>
    <w:rsid w:val="003B27BF"/>
    <w:rsid w:val="003B43F3"/>
    <w:rsid w:val="003B682A"/>
    <w:rsid w:val="003B7650"/>
    <w:rsid w:val="003C0F22"/>
    <w:rsid w:val="003C3DD1"/>
    <w:rsid w:val="003C4228"/>
    <w:rsid w:val="003C4CEF"/>
    <w:rsid w:val="003C60B3"/>
    <w:rsid w:val="003C6352"/>
    <w:rsid w:val="003C6643"/>
    <w:rsid w:val="003D4233"/>
    <w:rsid w:val="003D7ABB"/>
    <w:rsid w:val="003E24CD"/>
    <w:rsid w:val="003E2A52"/>
    <w:rsid w:val="003E4DAF"/>
    <w:rsid w:val="003E59D9"/>
    <w:rsid w:val="003E5FA6"/>
    <w:rsid w:val="003E74BC"/>
    <w:rsid w:val="003F3442"/>
    <w:rsid w:val="003F54A4"/>
    <w:rsid w:val="003F56FC"/>
    <w:rsid w:val="003F7337"/>
    <w:rsid w:val="00400CED"/>
    <w:rsid w:val="00401FD2"/>
    <w:rsid w:val="00402699"/>
    <w:rsid w:val="00402B8F"/>
    <w:rsid w:val="00402BB2"/>
    <w:rsid w:val="00404736"/>
    <w:rsid w:val="00405253"/>
    <w:rsid w:val="00407CDC"/>
    <w:rsid w:val="00412837"/>
    <w:rsid w:val="00413356"/>
    <w:rsid w:val="00415D7C"/>
    <w:rsid w:val="00416E57"/>
    <w:rsid w:val="004256AB"/>
    <w:rsid w:val="00427A31"/>
    <w:rsid w:val="00430B5E"/>
    <w:rsid w:val="00434BB6"/>
    <w:rsid w:val="00437CC5"/>
    <w:rsid w:val="00440E88"/>
    <w:rsid w:val="00441322"/>
    <w:rsid w:val="00441D5D"/>
    <w:rsid w:val="0044246C"/>
    <w:rsid w:val="00442591"/>
    <w:rsid w:val="00443E41"/>
    <w:rsid w:val="00444D6D"/>
    <w:rsid w:val="0044617E"/>
    <w:rsid w:val="00446208"/>
    <w:rsid w:val="00446950"/>
    <w:rsid w:val="00447050"/>
    <w:rsid w:val="004474B4"/>
    <w:rsid w:val="00447C5A"/>
    <w:rsid w:val="0045115A"/>
    <w:rsid w:val="004523E6"/>
    <w:rsid w:val="004524C8"/>
    <w:rsid w:val="00454216"/>
    <w:rsid w:val="00456871"/>
    <w:rsid w:val="00463305"/>
    <w:rsid w:val="0046424F"/>
    <w:rsid w:val="00464731"/>
    <w:rsid w:val="0046493A"/>
    <w:rsid w:val="004649EE"/>
    <w:rsid w:val="00465202"/>
    <w:rsid w:val="0046599F"/>
    <w:rsid w:val="00466DCF"/>
    <w:rsid w:val="00466E32"/>
    <w:rsid w:val="004677B7"/>
    <w:rsid w:val="00471D97"/>
    <w:rsid w:val="0047233F"/>
    <w:rsid w:val="004723E7"/>
    <w:rsid w:val="00474B47"/>
    <w:rsid w:val="004753A7"/>
    <w:rsid w:val="00476D2E"/>
    <w:rsid w:val="00476F81"/>
    <w:rsid w:val="00477162"/>
    <w:rsid w:val="00477745"/>
    <w:rsid w:val="00480044"/>
    <w:rsid w:val="00480A35"/>
    <w:rsid w:val="00480BA5"/>
    <w:rsid w:val="00481931"/>
    <w:rsid w:val="00481E52"/>
    <w:rsid w:val="0048409F"/>
    <w:rsid w:val="004853F9"/>
    <w:rsid w:val="004861CD"/>
    <w:rsid w:val="00487C8A"/>
    <w:rsid w:val="00490C9F"/>
    <w:rsid w:val="00491629"/>
    <w:rsid w:val="00491B79"/>
    <w:rsid w:val="004938F7"/>
    <w:rsid w:val="00495CD7"/>
    <w:rsid w:val="004961CD"/>
    <w:rsid w:val="00496F5D"/>
    <w:rsid w:val="00497EA4"/>
    <w:rsid w:val="00497F52"/>
    <w:rsid w:val="004A04CF"/>
    <w:rsid w:val="004A30EA"/>
    <w:rsid w:val="004A3362"/>
    <w:rsid w:val="004A3860"/>
    <w:rsid w:val="004A4D91"/>
    <w:rsid w:val="004A55AD"/>
    <w:rsid w:val="004A5616"/>
    <w:rsid w:val="004A5ADF"/>
    <w:rsid w:val="004A63ED"/>
    <w:rsid w:val="004A7973"/>
    <w:rsid w:val="004A7A8D"/>
    <w:rsid w:val="004B394E"/>
    <w:rsid w:val="004B49FA"/>
    <w:rsid w:val="004B4A37"/>
    <w:rsid w:val="004B4A8C"/>
    <w:rsid w:val="004B7B44"/>
    <w:rsid w:val="004B7D5D"/>
    <w:rsid w:val="004C16A0"/>
    <w:rsid w:val="004C27F8"/>
    <w:rsid w:val="004C3499"/>
    <w:rsid w:val="004C37A2"/>
    <w:rsid w:val="004C5F53"/>
    <w:rsid w:val="004C708E"/>
    <w:rsid w:val="004C7167"/>
    <w:rsid w:val="004C775D"/>
    <w:rsid w:val="004C78D2"/>
    <w:rsid w:val="004D0075"/>
    <w:rsid w:val="004D26A4"/>
    <w:rsid w:val="004D2F71"/>
    <w:rsid w:val="004D3BF6"/>
    <w:rsid w:val="004D4C22"/>
    <w:rsid w:val="004D4DDE"/>
    <w:rsid w:val="004D6808"/>
    <w:rsid w:val="004E0DD1"/>
    <w:rsid w:val="004E205C"/>
    <w:rsid w:val="004E2F6F"/>
    <w:rsid w:val="004E31D0"/>
    <w:rsid w:val="004E446D"/>
    <w:rsid w:val="004E5E26"/>
    <w:rsid w:val="004E6657"/>
    <w:rsid w:val="004E6A86"/>
    <w:rsid w:val="004E6D4B"/>
    <w:rsid w:val="004F03F8"/>
    <w:rsid w:val="004F060B"/>
    <w:rsid w:val="004F06E7"/>
    <w:rsid w:val="004F0CAB"/>
    <w:rsid w:val="004F1F3A"/>
    <w:rsid w:val="004F257E"/>
    <w:rsid w:val="004F2A90"/>
    <w:rsid w:val="004F2C39"/>
    <w:rsid w:val="004F3E3A"/>
    <w:rsid w:val="004F4BC1"/>
    <w:rsid w:val="004F65AD"/>
    <w:rsid w:val="004F69EA"/>
    <w:rsid w:val="004F6CE9"/>
    <w:rsid w:val="004F7204"/>
    <w:rsid w:val="004F75A9"/>
    <w:rsid w:val="00500351"/>
    <w:rsid w:val="005009F9"/>
    <w:rsid w:val="00502173"/>
    <w:rsid w:val="00502C16"/>
    <w:rsid w:val="00504910"/>
    <w:rsid w:val="00505671"/>
    <w:rsid w:val="00505C47"/>
    <w:rsid w:val="00505DC7"/>
    <w:rsid w:val="00510512"/>
    <w:rsid w:val="0051097E"/>
    <w:rsid w:val="00510BAF"/>
    <w:rsid w:val="00512102"/>
    <w:rsid w:val="00512A02"/>
    <w:rsid w:val="00512BF7"/>
    <w:rsid w:val="00514229"/>
    <w:rsid w:val="00514F78"/>
    <w:rsid w:val="005150B9"/>
    <w:rsid w:val="00515C93"/>
    <w:rsid w:val="00516966"/>
    <w:rsid w:val="00516F75"/>
    <w:rsid w:val="0052043A"/>
    <w:rsid w:val="00521505"/>
    <w:rsid w:val="00522A0B"/>
    <w:rsid w:val="00523386"/>
    <w:rsid w:val="00523854"/>
    <w:rsid w:val="005251E7"/>
    <w:rsid w:val="005257F4"/>
    <w:rsid w:val="00527219"/>
    <w:rsid w:val="00527746"/>
    <w:rsid w:val="00527761"/>
    <w:rsid w:val="005303A3"/>
    <w:rsid w:val="00532443"/>
    <w:rsid w:val="00532491"/>
    <w:rsid w:val="00533B51"/>
    <w:rsid w:val="00534005"/>
    <w:rsid w:val="005343DC"/>
    <w:rsid w:val="0053551B"/>
    <w:rsid w:val="00535F04"/>
    <w:rsid w:val="005362E3"/>
    <w:rsid w:val="005362F7"/>
    <w:rsid w:val="00536E87"/>
    <w:rsid w:val="005376DF"/>
    <w:rsid w:val="005400F7"/>
    <w:rsid w:val="0054280D"/>
    <w:rsid w:val="005437D9"/>
    <w:rsid w:val="00545A64"/>
    <w:rsid w:val="00546A3D"/>
    <w:rsid w:val="00550FA1"/>
    <w:rsid w:val="00552069"/>
    <w:rsid w:val="00552913"/>
    <w:rsid w:val="00553349"/>
    <w:rsid w:val="0055353F"/>
    <w:rsid w:val="00555144"/>
    <w:rsid w:val="005551E0"/>
    <w:rsid w:val="00560391"/>
    <w:rsid w:val="0056363A"/>
    <w:rsid w:val="00563DDA"/>
    <w:rsid w:val="00567405"/>
    <w:rsid w:val="0057242B"/>
    <w:rsid w:val="0057275F"/>
    <w:rsid w:val="005728EB"/>
    <w:rsid w:val="00572BFF"/>
    <w:rsid w:val="00574A0D"/>
    <w:rsid w:val="00575EC0"/>
    <w:rsid w:val="0057625F"/>
    <w:rsid w:val="00576FDF"/>
    <w:rsid w:val="00577877"/>
    <w:rsid w:val="00580F25"/>
    <w:rsid w:val="005811B2"/>
    <w:rsid w:val="005836D4"/>
    <w:rsid w:val="00584113"/>
    <w:rsid w:val="00585483"/>
    <w:rsid w:val="0058631C"/>
    <w:rsid w:val="005865F7"/>
    <w:rsid w:val="00587FE8"/>
    <w:rsid w:val="005917EC"/>
    <w:rsid w:val="00592DB5"/>
    <w:rsid w:val="00593517"/>
    <w:rsid w:val="00594ACC"/>
    <w:rsid w:val="0059532D"/>
    <w:rsid w:val="00595E25"/>
    <w:rsid w:val="00597CF7"/>
    <w:rsid w:val="005A1063"/>
    <w:rsid w:val="005A1445"/>
    <w:rsid w:val="005A1E72"/>
    <w:rsid w:val="005A2160"/>
    <w:rsid w:val="005A21F6"/>
    <w:rsid w:val="005A2EF0"/>
    <w:rsid w:val="005A5293"/>
    <w:rsid w:val="005A56FD"/>
    <w:rsid w:val="005A570A"/>
    <w:rsid w:val="005A596C"/>
    <w:rsid w:val="005A61F1"/>
    <w:rsid w:val="005A6E82"/>
    <w:rsid w:val="005A7784"/>
    <w:rsid w:val="005B0D56"/>
    <w:rsid w:val="005B5EAD"/>
    <w:rsid w:val="005B5F9B"/>
    <w:rsid w:val="005B62E9"/>
    <w:rsid w:val="005C0499"/>
    <w:rsid w:val="005C110C"/>
    <w:rsid w:val="005C235D"/>
    <w:rsid w:val="005C635E"/>
    <w:rsid w:val="005C7A79"/>
    <w:rsid w:val="005D05F3"/>
    <w:rsid w:val="005D10AB"/>
    <w:rsid w:val="005D12FB"/>
    <w:rsid w:val="005D4EE6"/>
    <w:rsid w:val="005D601C"/>
    <w:rsid w:val="005D6B03"/>
    <w:rsid w:val="005E2728"/>
    <w:rsid w:val="005E361B"/>
    <w:rsid w:val="005E36E7"/>
    <w:rsid w:val="005E5613"/>
    <w:rsid w:val="005E5F27"/>
    <w:rsid w:val="005E63C1"/>
    <w:rsid w:val="005E6E2D"/>
    <w:rsid w:val="005E726C"/>
    <w:rsid w:val="005E7BF8"/>
    <w:rsid w:val="005E7C8F"/>
    <w:rsid w:val="005F23BF"/>
    <w:rsid w:val="005F3206"/>
    <w:rsid w:val="005F4187"/>
    <w:rsid w:val="005F686D"/>
    <w:rsid w:val="006023BF"/>
    <w:rsid w:val="006024E5"/>
    <w:rsid w:val="006032B1"/>
    <w:rsid w:val="00603EEF"/>
    <w:rsid w:val="00605925"/>
    <w:rsid w:val="00606596"/>
    <w:rsid w:val="00606C3D"/>
    <w:rsid w:val="00606CF0"/>
    <w:rsid w:val="00607A37"/>
    <w:rsid w:val="00610E0F"/>
    <w:rsid w:val="006111E0"/>
    <w:rsid w:val="006118D1"/>
    <w:rsid w:val="00612EEF"/>
    <w:rsid w:val="00614316"/>
    <w:rsid w:val="00616685"/>
    <w:rsid w:val="00616D19"/>
    <w:rsid w:val="006205AF"/>
    <w:rsid w:val="006235F5"/>
    <w:rsid w:val="0062454F"/>
    <w:rsid w:val="00625079"/>
    <w:rsid w:val="00625F42"/>
    <w:rsid w:val="006264F6"/>
    <w:rsid w:val="00626859"/>
    <w:rsid w:val="006270ED"/>
    <w:rsid w:val="00627151"/>
    <w:rsid w:val="00627CA5"/>
    <w:rsid w:val="00632228"/>
    <w:rsid w:val="006330DE"/>
    <w:rsid w:val="0063322C"/>
    <w:rsid w:val="006366D0"/>
    <w:rsid w:val="006370CF"/>
    <w:rsid w:val="006375E8"/>
    <w:rsid w:val="00637E9B"/>
    <w:rsid w:val="00641418"/>
    <w:rsid w:val="00641D5D"/>
    <w:rsid w:val="00642FB6"/>
    <w:rsid w:val="00643F50"/>
    <w:rsid w:val="00645B10"/>
    <w:rsid w:val="00645C66"/>
    <w:rsid w:val="0064627F"/>
    <w:rsid w:val="00646CA4"/>
    <w:rsid w:val="00647569"/>
    <w:rsid w:val="0065225E"/>
    <w:rsid w:val="00653994"/>
    <w:rsid w:val="00655881"/>
    <w:rsid w:val="00657364"/>
    <w:rsid w:val="006575FA"/>
    <w:rsid w:val="00657746"/>
    <w:rsid w:val="00661189"/>
    <w:rsid w:val="006632E3"/>
    <w:rsid w:val="00663341"/>
    <w:rsid w:val="00663D50"/>
    <w:rsid w:val="00663EA7"/>
    <w:rsid w:val="00663F5C"/>
    <w:rsid w:val="00664305"/>
    <w:rsid w:val="00665584"/>
    <w:rsid w:val="00665EC4"/>
    <w:rsid w:val="00666D9E"/>
    <w:rsid w:val="006670FB"/>
    <w:rsid w:val="00667526"/>
    <w:rsid w:val="006703C7"/>
    <w:rsid w:val="00671196"/>
    <w:rsid w:val="006719B3"/>
    <w:rsid w:val="00671A90"/>
    <w:rsid w:val="00672C40"/>
    <w:rsid w:val="00672E78"/>
    <w:rsid w:val="00672EBE"/>
    <w:rsid w:val="00674E49"/>
    <w:rsid w:val="006760CA"/>
    <w:rsid w:val="00677B90"/>
    <w:rsid w:val="00677BB5"/>
    <w:rsid w:val="0068048D"/>
    <w:rsid w:val="00680BEA"/>
    <w:rsid w:val="00680C67"/>
    <w:rsid w:val="00680D78"/>
    <w:rsid w:val="00680EF0"/>
    <w:rsid w:val="006840D8"/>
    <w:rsid w:val="00684AB4"/>
    <w:rsid w:val="00684AC7"/>
    <w:rsid w:val="00685529"/>
    <w:rsid w:val="006858B2"/>
    <w:rsid w:val="00687ACD"/>
    <w:rsid w:val="006918C3"/>
    <w:rsid w:val="00692807"/>
    <w:rsid w:val="00694110"/>
    <w:rsid w:val="00694515"/>
    <w:rsid w:val="006946F9"/>
    <w:rsid w:val="0069654E"/>
    <w:rsid w:val="006A0038"/>
    <w:rsid w:val="006A1710"/>
    <w:rsid w:val="006A29E2"/>
    <w:rsid w:val="006A3186"/>
    <w:rsid w:val="006A3DDA"/>
    <w:rsid w:val="006A5578"/>
    <w:rsid w:val="006A7655"/>
    <w:rsid w:val="006A79D9"/>
    <w:rsid w:val="006A7C1B"/>
    <w:rsid w:val="006B052B"/>
    <w:rsid w:val="006B07D2"/>
    <w:rsid w:val="006B153E"/>
    <w:rsid w:val="006B448C"/>
    <w:rsid w:val="006B472F"/>
    <w:rsid w:val="006B4A0D"/>
    <w:rsid w:val="006B54AC"/>
    <w:rsid w:val="006B5D21"/>
    <w:rsid w:val="006B742F"/>
    <w:rsid w:val="006C06D2"/>
    <w:rsid w:val="006C07A0"/>
    <w:rsid w:val="006C0E75"/>
    <w:rsid w:val="006C155F"/>
    <w:rsid w:val="006C493F"/>
    <w:rsid w:val="006C55F8"/>
    <w:rsid w:val="006D1473"/>
    <w:rsid w:val="006D3708"/>
    <w:rsid w:val="006D65BD"/>
    <w:rsid w:val="006D7823"/>
    <w:rsid w:val="006D7BF7"/>
    <w:rsid w:val="006D7EF2"/>
    <w:rsid w:val="006E07CE"/>
    <w:rsid w:val="006E0A93"/>
    <w:rsid w:val="006E1F2E"/>
    <w:rsid w:val="006E299A"/>
    <w:rsid w:val="006E2B68"/>
    <w:rsid w:val="006E35CF"/>
    <w:rsid w:val="006E6458"/>
    <w:rsid w:val="006E65BB"/>
    <w:rsid w:val="006E6917"/>
    <w:rsid w:val="006E733D"/>
    <w:rsid w:val="006F0496"/>
    <w:rsid w:val="006F185F"/>
    <w:rsid w:val="006F2272"/>
    <w:rsid w:val="006F2758"/>
    <w:rsid w:val="006F29D9"/>
    <w:rsid w:val="006F2E64"/>
    <w:rsid w:val="006F38CB"/>
    <w:rsid w:val="006F3F81"/>
    <w:rsid w:val="006F3FDC"/>
    <w:rsid w:val="006F4C09"/>
    <w:rsid w:val="006F4F29"/>
    <w:rsid w:val="006F5E88"/>
    <w:rsid w:val="00701BF3"/>
    <w:rsid w:val="00703CEB"/>
    <w:rsid w:val="007047D9"/>
    <w:rsid w:val="00704BCA"/>
    <w:rsid w:val="00707700"/>
    <w:rsid w:val="0071083D"/>
    <w:rsid w:val="00710C36"/>
    <w:rsid w:val="007113B1"/>
    <w:rsid w:val="00712F51"/>
    <w:rsid w:val="00714388"/>
    <w:rsid w:val="00714775"/>
    <w:rsid w:val="007153A0"/>
    <w:rsid w:val="00715597"/>
    <w:rsid w:val="00717EFD"/>
    <w:rsid w:val="00720AD5"/>
    <w:rsid w:val="00720B27"/>
    <w:rsid w:val="00722467"/>
    <w:rsid w:val="0072313E"/>
    <w:rsid w:val="0072416A"/>
    <w:rsid w:val="007245EF"/>
    <w:rsid w:val="00726F40"/>
    <w:rsid w:val="007270F4"/>
    <w:rsid w:val="00730962"/>
    <w:rsid w:val="00732AE8"/>
    <w:rsid w:val="0073541B"/>
    <w:rsid w:val="00735744"/>
    <w:rsid w:val="007358FD"/>
    <w:rsid w:val="00737CAF"/>
    <w:rsid w:val="00744C9D"/>
    <w:rsid w:val="00750F50"/>
    <w:rsid w:val="00751328"/>
    <w:rsid w:val="00751901"/>
    <w:rsid w:val="00752CBA"/>
    <w:rsid w:val="00754113"/>
    <w:rsid w:val="00754A7C"/>
    <w:rsid w:val="007551D8"/>
    <w:rsid w:val="00756E25"/>
    <w:rsid w:val="00760798"/>
    <w:rsid w:val="00761195"/>
    <w:rsid w:val="00761477"/>
    <w:rsid w:val="007645ED"/>
    <w:rsid w:val="0076568D"/>
    <w:rsid w:val="0076572E"/>
    <w:rsid w:val="00765B0C"/>
    <w:rsid w:val="00767CBA"/>
    <w:rsid w:val="00770DBD"/>
    <w:rsid w:val="0077155C"/>
    <w:rsid w:val="00772F0A"/>
    <w:rsid w:val="00773988"/>
    <w:rsid w:val="00774FAD"/>
    <w:rsid w:val="00775AC3"/>
    <w:rsid w:val="0077797B"/>
    <w:rsid w:val="00780319"/>
    <w:rsid w:val="00780495"/>
    <w:rsid w:val="0078066D"/>
    <w:rsid w:val="0078198B"/>
    <w:rsid w:val="00781C73"/>
    <w:rsid w:val="007829FC"/>
    <w:rsid w:val="0078377B"/>
    <w:rsid w:val="00784C56"/>
    <w:rsid w:val="007878F8"/>
    <w:rsid w:val="00791633"/>
    <w:rsid w:val="00792CEA"/>
    <w:rsid w:val="00793C99"/>
    <w:rsid w:val="00795BB4"/>
    <w:rsid w:val="007A093F"/>
    <w:rsid w:val="007A130B"/>
    <w:rsid w:val="007A2B5B"/>
    <w:rsid w:val="007A3DAD"/>
    <w:rsid w:val="007A3FE1"/>
    <w:rsid w:val="007A510C"/>
    <w:rsid w:val="007A57C0"/>
    <w:rsid w:val="007A59FF"/>
    <w:rsid w:val="007A6603"/>
    <w:rsid w:val="007A6D71"/>
    <w:rsid w:val="007A6FCD"/>
    <w:rsid w:val="007A708F"/>
    <w:rsid w:val="007B03A4"/>
    <w:rsid w:val="007B0AB0"/>
    <w:rsid w:val="007B1A13"/>
    <w:rsid w:val="007B1E61"/>
    <w:rsid w:val="007B4FDA"/>
    <w:rsid w:val="007B5E7E"/>
    <w:rsid w:val="007B78A5"/>
    <w:rsid w:val="007C02C1"/>
    <w:rsid w:val="007C2A8A"/>
    <w:rsid w:val="007C36B5"/>
    <w:rsid w:val="007C49D1"/>
    <w:rsid w:val="007C4FF7"/>
    <w:rsid w:val="007C65E0"/>
    <w:rsid w:val="007C682E"/>
    <w:rsid w:val="007C7893"/>
    <w:rsid w:val="007D0914"/>
    <w:rsid w:val="007D0F2F"/>
    <w:rsid w:val="007D157E"/>
    <w:rsid w:val="007D187E"/>
    <w:rsid w:val="007D6162"/>
    <w:rsid w:val="007D79F0"/>
    <w:rsid w:val="007E0E7E"/>
    <w:rsid w:val="007E1907"/>
    <w:rsid w:val="007E27AD"/>
    <w:rsid w:val="007E2E9C"/>
    <w:rsid w:val="007E3FD9"/>
    <w:rsid w:val="007E6FFC"/>
    <w:rsid w:val="007E788B"/>
    <w:rsid w:val="007E7F5F"/>
    <w:rsid w:val="007F093F"/>
    <w:rsid w:val="007F09E1"/>
    <w:rsid w:val="007F28E1"/>
    <w:rsid w:val="007F656B"/>
    <w:rsid w:val="007F6C64"/>
    <w:rsid w:val="007F7030"/>
    <w:rsid w:val="00801695"/>
    <w:rsid w:val="00801CFD"/>
    <w:rsid w:val="008025F1"/>
    <w:rsid w:val="00802AF3"/>
    <w:rsid w:val="0080530D"/>
    <w:rsid w:val="00805773"/>
    <w:rsid w:val="0080739D"/>
    <w:rsid w:val="00807460"/>
    <w:rsid w:val="008103F1"/>
    <w:rsid w:val="00810AF7"/>
    <w:rsid w:val="00810B4A"/>
    <w:rsid w:val="0081114A"/>
    <w:rsid w:val="00811380"/>
    <w:rsid w:val="00811A8A"/>
    <w:rsid w:val="00814B70"/>
    <w:rsid w:val="00814BDF"/>
    <w:rsid w:val="008163AC"/>
    <w:rsid w:val="00816528"/>
    <w:rsid w:val="00816B4C"/>
    <w:rsid w:val="0082018A"/>
    <w:rsid w:val="00822CDA"/>
    <w:rsid w:val="0082741C"/>
    <w:rsid w:val="00831694"/>
    <w:rsid w:val="00831AA2"/>
    <w:rsid w:val="008324CB"/>
    <w:rsid w:val="008326DA"/>
    <w:rsid w:val="00834A32"/>
    <w:rsid w:val="00834F5B"/>
    <w:rsid w:val="0083635A"/>
    <w:rsid w:val="00837E96"/>
    <w:rsid w:val="00840099"/>
    <w:rsid w:val="008408A5"/>
    <w:rsid w:val="0084147D"/>
    <w:rsid w:val="00841882"/>
    <w:rsid w:val="00847E4C"/>
    <w:rsid w:val="00850866"/>
    <w:rsid w:val="00851DA7"/>
    <w:rsid w:val="0085282F"/>
    <w:rsid w:val="00852B67"/>
    <w:rsid w:val="008564ED"/>
    <w:rsid w:val="00860EF8"/>
    <w:rsid w:val="008610B3"/>
    <w:rsid w:val="0086268D"/>
    <w:rsid w:val="00866F62"/>
    <w:rsid w:val="00867A1A"/>
    <w:rsid w:val="00867B13"/>
    <w:rsid w:val="0087266C"/>
    <w:rsid w:val="00873086"/>
    <w:rsid w:val="0087426E"/>
    <w:rsid w:val="0087511F"/>
    <w:rsid w:val="008756C4"/>
    <w:rsid w:val="00881198"/>
    <w:rsid w:val="008815F0"/>
    <w:rsid w:val="0088164D"/>
    <w:rsid w:val="00882549"/>
    <w:rsid w:val="00882D6D"/>
    <w:rsid w:val="00884C42"/>
    <w:rsid w:val="00884C65"/>
    <w:rsid w:val="00886A5D"/>
    <w:rsid w:val="00887CB9"/>
    <w:rsid w:val="00887FE3"/>
    <w:rsid w:val="00890DF3"/>
    <w:rsid w:val="008917D7"/>
    <w:rsid w:val="0089240E"/>
    <w:rsid w:val="0089241D"/>
    <w:rsid w:val="00892F11"/>
    <w:rsid w:val="00893462"/>
    <w:rsid w:val="00894C0F"/>
    <w:rsid w:val="00895764"/>
    <w:rsid w:val="00896343"/>
    <w:rsid w:val="00897517"/>
    <w:rsid w:val="0089788B"/>
    <w:rsid w:val="00897911"/>
    <w:rsid w:val="00897C23"/>
    <w:rsid w:val="008A0AA9"/>
    <w:rsid w:val="008A1F34"/>
    <w:rsid w:val="008A2088"/>
    <w:rsid w:val="008A4242"/>
    <w:rsid w:val="008A5842"/>
    <w:rsid w:val="008A5CAE"/>
    <w:rsid w:val="008B1BC9"/>
    <w:rsid w:val="008B3F0E"/>
    <w:rsid w:val="008B479E"/>
    <w:rsid w:val="008B5D45"/>
    <w:rsid w:val="008B6B8A"/>
    <w:rsid w:val="008B7A73"/>
    <w:rsid w:val="008C06A6"/>
    <w:rsid w:val="008C0BFD"/>
    <w:rsid w:val="008C2B1A"/>
    <w:rsid w:val="008C549C"/>
    <w:rsid w:val="008C6A4D"/>
    <w:rsid w:val="008C6B10"/>
    <w:rsid w:val="008C76CE"/>
    <w:rsid w:val="008C774B"/>
    <w:rsid w:val="008C7F1B"/>
    <w:rsid w:val="008D136A"/>
    <w:rsid w:val="008D192B"/>
    <w:rsid w:val="008D4228"/>
    <w:rsid w:val="008D5241"/>
    <w:rsid w:val="008D52F2"/>
    <w:rsid w:val="008D55A0"/>
    <w:rsid w:val="008D5CBD"/>
    <w:rsid w:val="008D60B0"/>
    <w:rsid w:val="008D6C36"/>
    <w:rsid w:val="008D792F"/>
    <w:rsid w:val="008E03C2"/>
    <w:rsid w:val="008E1AA3"/>
    <w:rsid w:val="008F02A1"/>
    <w:rsid w:val="008F05ED"/>
    <w:rsid w:val="008F2CBE"/>
    <w:rsid w:val="008F4864"/>
    <w:rsid w:val="008F4B86"/>
    <w:rsid w:val="008F4CA5"/>
    <w:rsid w:val="00900AAF"/>
    <w:rsid w:val="00900E90"/>
    <w:rsid w:val="00900FC1"/>
    <w:rsid w:val="00901BB9"/>
    <w:rsid w:val="00901E52"/>
    <w:rsid w:val="00911C44"/>
    <w:rsid w:val="00911EF6"/>
    <w:rsid w:val="00912402"/>
    <w:rsid w:val="009133AA"/>
    <w:rsid w:val="009157CD"/>
    <w:rsid w:val="00917AD5"/>
    <w:rsid w:val="009204EA"/>
    <w:rsid w:val="00923977"/>
    <w:rsid w:val="009239E6"/>
    <w:rsid w:val="00924025"/>
    <w:rsid w:val="00925178"/>
    <w:rsid w:val="009259FD"/>
    <w:rsid w:val="00926E66"/>
    <w:rsid w:val="0092797B"/>
    <w:rsid w:val="0093018D"/>
    <w:rsid w:val="00930245"/>
    <w:rsid w:val="009305D7"/>
    <w:rsid w:val="00931282"/>
    <w:rsid w:val="009315B8"/>
    <w:rsid w:val="0093211B"/>
    <w:rsid w:val="009326F1"/>
    <w:rsid w:val="00933399"/>
    <w:rsid w:val="0093348E"/>
    <w:rsid w:val="00934452"/>
    <w:rsid w:val="00934F92"/>
    <w:rsid w:val="00935518"/>
    <w:rsid w:val="0093705D"/>
    <w:rsid w:val="00937581"/>
    <w:rsid w:val="00937BF7"/>
    <w:rsid w:val="00940AA9"/>
    <w:rsid w:val="00940B1C"/>
    <w:rsid w:val="00942D2B"/>
    <w:rsid w:val="00943002"/>
    <w:rsid w:val="009432A7"/>
    <w:rsid w:val="00944D14"/>
    <w:rsid w:val="00944DD9"/>
    <w:rsid w:val="0094545C"/>
    <w:rsid w:val="009479F0"/>
    <w:rsid w:val="00953AA8"/>
    <w:rsid w:val="009540F4"/>
    <w:rsid w:val="00954255"/>
    <w:rsid w:val="0095466B"/>
    <w:rsid w:val="0095721D"/>
    <w:rsid w:val="009631A7"/>
    <w:rsid w:val="00963578"/>
    <w:rsid w:val="00963D14"/>
    <w:rsid w:val="00970864"/>
    <w:rsid w:val="0097140F"/>
    <w:rsid w:val="0097226F"/>
    <w:rsid w:val="00973671"/>
    <w:rsid w:val="00974FC5"/>
    <w:rsid w:val="00975B80"/>
    <w:rsid w:val="00976363"/>
    <w:rsid w:val="0097643F"/>
    <w:rsid w:val="00976FE7"/>
    <w:rsid w:val="00977249"/>
    <w:rsid w:val="009773D0"/>
    <w:rsid w:val="009775E7"/>
    <w:rsid w:val="00977B5A"/>
    <w:rsid w:val="00980D7C"/>
    <w:rsid w:val="00980D8C"/>
    <w:rsid w:val="009813B4"/>
    <w:rsid w:val="00981650"/>
    <w:rsid w:val="00981667"/>
    <w:rsid w:val="00982894"/>
    <w:rsid w:val="00984000"/>
    <w:rsid w:val="00984647"/>
    <w:rsid w:val="00984D71"/>
    <w:rsid w:val="00984F96"/>
    <w:rsid w:val="00987759"/>
    <w:rsid w:val="009915B7"/>
    <w:rsid w:val="00992DFF"/>
    <w:rsid w:val="00994207"/>
    <w:rsid w:val="00994321"/>
    <w:rsid w:val="0099493F"/>
    <w:rsid w:val="00995206"/>
    <w:rsid w:val="009960D2"/>
    <w:rsid w:val="00996DA0"/>
    <w:rsid w:val="009A2C78"/>
    <w:rsid w:val="009A64D3"/>
    <w:rsid w:val="009A66F2"/>
    <w:rsid w:val="009A6AAD"/>
    <w:rsid w:val="009A6AC9"/>
    <w:rsid w:val="009B12FC"/>
    <w:rsid w:val="009B4CF8"/>
    <w:rsid w:val="009B4D35"/>
    <w:rsid w:val="009B57F6"/>
    <w:rsid w:val="009B66ED"/>
    <w:rsid w:val="009C0420"/>
    <w:rsid w:val="009C1EAD"/>
    <w:rsid w:val="009C233A"/>
    <w:rsid w:val="009C28A7"/>
    <w:rsid w:val="009C2C61"/>
    <w:rsid w:val="009C4826"/>
    <w:rsid w:val="009C57CD"/>
    <w:rsid w:val="009C626B"/>
    <w:rsid w:val="009C6DC2"/>
    <w:rsid w:val="009D34A8"/>
    <w:rsid w:val="009D5130"/>
    <w:rsid w:val="009D747B"/>
    <w:rsid w:val="009D760E"/>
    <w:rsid w:val="009D7DB5"/>
    <w:rsid w:val="009D7E10"/>
    <w:rsid w:val="009E0847"/>
    <w:rsid w:val="009E1487"/>
    <w:rsid w:val="009E17E8"/>
    <w:rsid w:val="009E4C2E"/>
    <w:rsid w:val="009E5115"/>
    <w:rsid w:val="009E517A"/>
    <w:rsid w:val="009E7C94"/>
    <w:rsid w:val="009E7E60"/>
    <w:rsid w:val="009F0D67"/>
    <w:rsid w:val="009F1462"/>
    <w:rsid w:val="009F206A"/>
    <w:rsid w:val="009F41BA"/>
    <w:rsid w:val="009F5A3A"/>
    <w:rsid w:val="009F5F3A"/>
    <w:rsid w:val="009F667C"/>
    <w:rsid w:val="009F7499"/>
    <w:rsid w:val="00A021F4"/>
    <w:rsid w:val="00A03CE4"/>
    <w:rsid w:val="00A04837"/>
    <w:rsid w:val="00A05B20"/>
    <w:rsid w:val="00A05DAD"/>
    <w:rsid w:val="00A06902"/>
    <w:rsid w:val="00A06923"/>
    <w:rsid w:val="00A07DDA"/>
    <w:rsid w:val="00A11F3A"/>
    <w:rsid w:val="00A13072"/>
    <w:rsid w:val="00A152E2"/>
    <w:rsid w:val="00A15F12"/>
    <w:rsid w:val="00A16BC0"/>
    <w:rsid w:val="00A16C92"/>
    <w:rsid w:val="00A16EBE"/>
    <w:rsid w:val="00A16F56"/>
    <w:rsid w:val="00A17492"/>
    <w:rsid w:val="00A1784D"/>
    <w:rsid w:val="00A21D8C"/>
    <w:rsid w:val="00A21E9D"/>
    <w:rsid w:val="00A23F51"/>
    <w:rsid w:val="00A24033"/>
    <w:rsid w:val="00A25273"/>
    <w:rsid w:val="00A25496"/>
    <w:rsid w:val="00A256FB"/>
    <w:rsid w:val="00A25A6E"/>
    <w:rsid w:val="00A30137"/>
    <w:rsid w:val="00A33A93"/>
    <w:rsid w:val="00A34CE1"/>
    <w:rsid w:val="00A350FE"/>
    <w:rsid w:val="00A35759"/>
    <w:rsid w:val="00A35FDC"/>
    <w:rsid w:val="00A36B06"/>
    <w:rsid w:val="00A40F98"/>
    <w:rsid w:val="00A42AEA"/>
    <w:rsid w:val="00A43AA7"/>
    <w:rsid w:val="00A445B9"/>
    <w:rsid w:val="00A445C0"/>
    <w:rsid w:val="00A44907"/>
    <w:rsid w:val="00A45859"/>
    <w:rsid w:val="00A46143"/>
    <w:rsid w:val="00A4704B"/>
    <w:rsid w:val="00A51E90"/>
    <w:rsid w:val="00A53C4F"/>
    <w:rsid w:val="00A5475E"/>
    <w:rsid w:val="00A56383"/>
    <w:rsid w:val="00A565BA"/>
    <w:rsid w:val="00A60D25"/>
    <w:rsid w:val="00A6180F"/>
    <w:rsid w:val="00A64266"/>
    <w:rsid w:val="00A65EBA"/>
    <w:rsid w:val="00A67293"/>
    <w:rsid w:val="00A70075"/>
    <w:rsid w:val="00A73D67"/>
    <w:rsid w:val="00A77E1E"/>
    <w:rsid w:val="00A8238B"/>
    <w:rsid w:val="00A82736"/>
    <w:rsid w:val="00A84113"/>
    <w:rsid w:val="00A8429D"/>
    <w:rsid w:val="00A844E5"/>
    <w:rsid w:val="00A87786"/>
    <w:rsid w:val="00A90665"/>
    <w:rsid w:val="00A914FB"/>
    <w:rsid w:val="00A958FC"/>
    <w:rsid w:val="00A95BBE"/>
    <w:rsid w:val="00A970B4"/>
    <w:rsid w:val="00A97220"/>
    <w:rsid w:val="00A97891"/>
    <w:rsid w:val="00AA0D6D"/>
    <w:rsid w:val="00AA1371"/>
    <w:rsid w:val="00AA1C2B"/>
    <w:rsid w:val="00AA1F48"/>
    <w:rsid w:val="00AA2B0A"/>
    <w:rsid w:val="00AA2B11"/>
    <w:rsid w:val="00AA2E85"/>
    <w:rsid w:val="00AA31E6"/>
    <w:rsid w:val="00AA330D"/>
    <w:rsid w:val="00AA489A"/>
    <w:rsid w:val="00AA5523"/>
    <w:rsid w:val="00AA6A8D"/>
    <w:rsid w:val="00AA784D"/>
    <w:rsid w:val="00AB0FB6"/>
    <w:rsid w:val="00AB1ADB"/>
    <w:rsid w:val="00AB348F"/>
    <w:rsid w:val="00AB5EA2"/>
    <w:rsid w:val="00AC10C8"/>
    <w:rsid w:val="00AC1240"/>
    <w:rsid w:val="00AC1806"/>
    <w:rsid w:val="00AC1C88"/>
    <w:rsid w:val="00AC23B4"/>
    <w:rsid w:val="00AC4BF6"/>
    <w:rsid w:val="00AC5114"/>
    <w:rsid w:val="00AC5768"/>
    <w:rsid w:val="00AC5877"/>
    <w:rsid w:val="00AC77BA"/>
    <w:rsid w:val="00AD087D"/>
    <w:rsid w:val="00AD0F28"/>
    <w:rsid w:val="00AD4115"/>
    <w:rsid w:val="00AD4B9B"/>
    <w:rsid w:val="00AD5EFF"/>
    <w:rsid w:val="00AD72E2"/>
    <w:rsid w:val="00AD7BED"/>
    <w:rsid w:val="00AE14BC"/>
    <w:rsid w:val="00AE1DCB"/>
    <w:rsid w:val="00AE29D1"/>
    <w:rsid w:val="00AE3D12"/>
    <w:rsid w:val="00AE425E"/>
    <w:rsid w:val="00AE4F76"/>
    <w:rsid w:val="00AF128E"/>
    <w:rsid w:val="00AF1618"/>
    <w:rsid w:val="00AF1971"/>
    <w:rsid w:val="00AF1E02"/>
    <w:rsid w:val="00AF2C7C"/>
    <w:rsid w:val="00AF41A9"/>
    <w:rsid w:val="00AF457A"/>
    <w:rsid w:val="00AF4D57"/>
    <w:rsid w:val="00AF51AB"/>
    <w:rsid w:val="00AF5C90"/>
    <w:rsid w:val="00AF6364"/>
    <w:rsid w:val="00AF6CCA"/>
    <w:rsid w:val="00AF6F26"/>
    <w:rsid w:val="00AF73E9"/>
    <w:rsid w:val="00B0108E"/>
    <w:rsid w:val="00B015CC"/>
    <w:rsid w:val="00B02218"/>
    <w:rsid w:val="00B05B88"/>
    <w:rsid w:val="00B05ED6"/>
    <w:rsid w:val="00B06960"/>
    <w:rsid w:val="00B06DCA"/>
    <w:rsid w:val="00B07D4E"/>
    <w:rsid w:val="00B10014"/>
    <w:rsid w:val="00B125A8"/>
    <w:rsid w:val="00B12B79"/>
    <w:rsid w:val="00B14602"/>
    <w:rsid w:val="00B14B4A"/>
    <w:rsid w:val="00B15AAB"/>
    <w:rsid w:val="00B16449"/>
    <w:rsid w:val="00B164C3"/>
    <w:rsid w:val="00B16BB8"/>
    <w:rsid w:val="00B2007F"/>
    <w:rsid w:val="00B20386"/>
    <w:rsid w:val="00B21A61"/>
    <w:rsid w:val="00B22FF2"/>
    <w:rsid w:val="00B241DA"/>
    <w:rsid w:val="00B245FA"/>
    <w:rsid w:val="00B24EA8"/>
    <w:rsid w:val="00B25262"/>
    <w:rsid w:val="00B255E5"/>
    <w:rsid w:val="00B25A3B"/>
    <w:rsid w:val="00B26311"/>
    <w:rsid w:val="00B267B0"/>
    <w:rsid w:val="00B31CF4"/>
    <w:rsid w:val="00B325B4"/>
    <w:rsid w:val="00B338A8"/>
    <w:rsid w:val="00B35494"/>
    <w:rsid w:val="00B35729"/>
    <w:rsid w:val="00B35803"/>
    <w:rsid w:val="00B3649B"/>
    <w:rsid w:val="00B370C6"/>
    <w:rsid w:val="00B404E9"/>
    <w:rsid w:val="00B408E6"/>
    <w:rsid w:val="00B4192A"/>
    <w:rsid w:val="00B41C0C"/>
    <w:rsid w:val="00B457E1"/>
    <w:rsid w:val="00B45F68"/>
    <w:rsid w:val="00B47E92"/>
    <w:rsid w:val="00B5095A"/>
    <w:rsid w:val="00B526C2"/>
    <w:rsid w:val="00B53365"/>
    <w:rsid w:val="00B55961"/>
    <w:rsid w:val="00B55E5A"/>
    <w:rsid w:val="00B600C9"/>
    <w:rsid w:val="00B63F3D"/>
    <w:rsid w:val="00B659A8"/>
    <w:rsid w:val="00B70E2D"/>
    <w:rsid w:val="00B71656"/>
    <w:rsid w:val="00B742D0"/>
    <w:rsid w:val="00B752CB"/>
    <w:rsid w:val="00B76128"/>
    <w:rsid w:val="00B76C09"/>
    <w:rsid w:val="00B81D94"/>
    <w:rsid w:val="00B837CE"/>
    <w:rsid w:val="00B83CDB"/>
    <w:rsid w:val="00B84E05"/>
    <w:rsid w:val="00B85C7A"/>
    <w:rsid w:val="00B85CE4"/>
    <w:rsid w:val="00B85F8B"/>
    <w:rsid w:val="00B864E3"/>
    <w:rsid w:val="00B867F5"/>
    <w:rsid w:val="00B869D6"/>
    <w:rsid w:val="00B915EA"/>
    <w:rsid w:val="00B921A4"/>
    <w:rsid w:val="00B925F0"/>
    <w:rsid w:val="00B9339D"/>
    <w:rsid w:val="00B93661"/>
    <w:rsid w:val="00B96765"/>
    <w:rsid w:val="00B97DE5"/>
    <w:rsid w:val="00BA0F5B"/>
    <w:rsid w:val="00BA133C"/>
    <w:rsid w:val="00BA2D7C"/>
    <w:rsid w:val="00BA3897"/>
    <w:rsid w:val="00BA42F3"/>
    <w:rsid w:val="00BA4EA7"/>
    <w:rsid w:val="00BA5961"/>
    <w:rsid w:val="00BB0B51"/>
    <w:rsid w:val="00BB24C2"/>
    <w:rsid w:val="00BB255B"/>
    <w:rsid w:val="00BB260B"/>
    <w:rsid w:val="00BB319E"/>
    <w:rsid w:val="00BB3617"/>
    <w:rsid w:val="00BB56EA"/>
    <w:rsid w:val="00BC093E"/>
    <w:rsid w:val="00BC2D5D"/>
    <w:rsid w:val="00BC4E42"/>
    <w:rsid w:val="00BC607D"/>
    <w:rsid w:val="00BC6CD8"/>
    <w:rsid w:val="00BC6DA1"/>
    <w:rsid w:val="00BD07E7"/>
    <w:rsid w:val="00BD086B"/>
    <w:rsid w:val="00BD1899"/>
    <w:rsid w:val="00BD1CE8"/>
    <w:rsid w:val="00BD1F1E"/>
    <w:rsid w:val="00BD36F2"/>
    <w:rsid w:val="00BD3771"/>
    <w:rsid w:val="00BD38C0"/>
    <w:rsid w:val="00BD3EDA"/>
    <w:rsid w:val="00BD4EC7"/>
    <w:rsid w:val="00BD692D"/>
    <w:rsid w:val="00BD6AAB"/>
    <w:rsid w:val="00BD7E1B"/>
    <w:rsid w:val="00BE00C5"/>
    <w:rsid w:val="00BE0267"/>
    <w:rsid w:val="00BE2696"/>
    <w:rsid w:val="00BE2EF2"/>
    <w:rsid w:val="00BE3AFA"/>
    <w:rsid w:val="00BE43F5"/>
    <w:rsid w:val="00BE4A07"/>
    <w:rsid w:val="00BE6362"/>
    <w:rsid w:val="00BE6D56"/>
    <w:rsid w:val="00BE7560"/>
    <w:rsid w:val="00BE79E5"/>
    <w:rsid w:val="00BF14C8"/>
    <w:rsid w:val="00BF2D84"/>
    <w:rsid w:val="00BF3A1D"/>
    <w:rsid w:val="00BF3FB5"/>
    <w:rsid w:val="00BF42E7"/>
    <w:rsid w:val="00BF4AA7"/>
    <w:rsid w:val="00BF4B56"/>
    <w:rsid w:val="00BF5768"/>
    <w:rsid w:val="00BF709B"/>
    <w:rsid w:val="00BF7255"/>
    <w:rsid w:val="00BF7BC9"/>
    <w:rsid w:val="00BF7D04"/>
    <w:rsid w:val="00C01EE3"/>
    <w:rsid w:val="00C0362D"/>
    <w:rsid w:val="00C04906"/>
    <w:rsid w:val="00C04DA4"/>
    <w:rsid w:val="00C05D15"/>
    <w:rsid w:val="00C06F72"/>
    <w:rsid w:val="00C0731E"/>
    <w:rsid w:val="00C1077C"/>
    <w:rsid w:val="00C13A74"/>
    <w:rsid w:val="00C13F03"/>
    <w:rsid w:val="00C146C0"/>
    <w:rsid w:val="00C146CF"/>
    <w:rsid w:val="00C15EEE"/>
    <w:rsid w:val="00C1621F"/>
    <w:rsid w:val="00C17FCD"/>
    <w:rsid w:val="00C20453"/>
    <w:rsid w:val="00C20FEA"/>
    <w:rsid w:val="00C21DE4"/>
    <w:rsid w:val="00C2428D"/>
    <w:rsid w:val="00C2700A"/>
    <w:rsid w:val="00C31A87"/>
    <w:rsid w:val="00C320AE"/>
    <w:rsid w:val="00C328E0"/>
    <w:rsid w:val="00C348BA"/>
    <w:rsid w:val="00C357F3"/>
    <w:rsid w:val="00C3752B"/>
    <w:rsid w:val="00C376EA"/>
    <w:rsid w:val="00C42343"/>
    <w:rsid w:val="00C42D5A"/>
    <w:rsid w:val="00C450F8"/>
    <w:rsid w:val="00C47E03"/>
    <w:rsid w:val="00C52307"/>
    <w:rsid w:val="00C526FF"/>
    <w:rsid w:val="00C528C8"/>
    <w:rsid w:val="00C5394C"/>
    <w:rsid w:val="00C544FB"/>
    <w:rsid w:val="00C63425"/>
    <w:rsid w:val="00C6596E"/>
    <w:rsid w:val="00C6683B"/>
    <w:rsid w:val="00C702FC"/>
    <w:rsid w:val="00C71C01"/>
    <w:rsid w:val="00C734AD"/>
    <w:rsid w:val="00C749A8"/>
    <w:rsid w:val="00C77617"/>
    <w:rsid w:val="00C82299"/>
    <w:rsid w:val="00C8476A"/>
    <w:rsid w:val="00C85F3A"/>
    <w:rsid w:val="00C864E6"/>
    <w:rsid w:val="00C86523"/>
    <w:rsid w:val="00C86880"/>
    <w:rsid w:val="00C86DBD"/>
    <w:rsid w:val="00C87083"/>
    <w:rsid w:val="00C87A95"/>
    <w:rsid w:val="00C905F1"/>
    <w:rsid w:val="00C91FB5"/>
    <w:rsid w:val="00C921ED"/>
    <w:rsid w:val="00C9232F"/>
    <w:rsid w:val="00C961DD"/>
    <w:rsid w:val="00C96491"/>
    <w:rsid w:val="00C96BDE"/>
    <w:rsid w:val="00C96C68"/>
    <w:rsid w:val="00C97F41"/>
    <w:rsid w:val="00CA0533"/>
    <w:rsid w:val="00CA0B7F"/>
    <w:rsid w:val="00CA10B4"/>
    <w:rsid w:val="00CA1155"/>
    <w:rsid w:val="00CA291B"/>
    <w:rsid w:val="00CA447D"/>
    <w:rsid w:val="00CA5624"/>
    <w:rsid w:val="00CA5919"/>
    <w:rsid w:val="00CA646D"/>
    <w:rsid w:val="00CA6855"/>
    <w:rsid w:val="00CA7694"/>
    <w:rsid w:val="00CB1491"/>
    <w:rsid w:val="00CB2D5A"/>
    <w:rsid w:val="00CB2DE1"/>
    <w:rsid w:val="00CB3656"/>
    <w:rsid w:val="00CB51CF"/>
    <w:rsid w:val="00CB5E2F"/>
    <w:rsid w:val="00CB6545"/>
    <w:rsid w:val="00CB73C2"/>
    <w:rsid w:val="00CB7496"/>
    <w:rsid w:val="00CC2755"/>
    <w:rsid w:val="00CC3A27"/>
    <w:rsid w:val="00CC3B3D"/>
    <w:rsid w:val="00CC453A"/>
    <w:rsid w:val="00CC494A"/>
    <w:rsid w:val="00CC51CD"/>
    <w:rsid w:val="00CC717D"/>
    <w:rsid w:val="00CC7B53"/>
    <w:rsid w:val="00CD0588"/>
    <w:rsid w:val="00CD0CA4"/>
    <w:rsid w:val="00CD0D4B"/>
    <w:rsid w:val="00CD25DA"/>
    <w:rsid w:val="00CD3EBE"/>
    <w:rsid w:val="00CD4977"/>
    <w:rsid w:val="00CD682C"/>
    <w:rsid w:val="00CD6DED"/>
    <w:rsid w:val="00CE030B"/>
    <w:rsid w:val="00CE08B2"/>
    <w:rsid w:val="00CE1148"/>
    <w:rsid w:val="00CE12C1"/>
    <w:rsid w:val="00CE1775"/>
    <w:rsid w:val="00CE2991"/>
    <w:rsid w:val="00CE2E68"/>
    <w:rsid w:val="00CE2EA6"/>
    <w:rsid w:val="00CE3030"/>
    <w:rsid w:val="00CE4137"/>
    <w:rsid w:val="00CE50C8"/>
    <w:rsid w:val="00CE5788"/>
    <w:rsid w:val="00CE57B0"/>
    <w:rsid w:val="00CE5923"/>
    <w:rsid w:val="00CE6BA3"/>
    <w:rsid w:val="00CE6F24"/>
    <w:rsid w:val="00CF1049"/>
    <w:rsid w:val="00CF2AE9"/>
    <w:rsid w:val="00CF3D5A"/>
    <w:rsid w:val="00CF44DF"/>
    <w:rsid w:val="00CF588E"/>
    <w:rsid w:val="00CF7B9A"/>
    <w:rsid w:val="00CF7FBE"/>
    <w:rsid w:val="00D00805"/>
    <w:rsid w:val="00D01593"/>
    <w:rsid w:val="00D03A02"/>
    <w:rsid w:val="00D042E5"/>
    <w:rsid w:val="00D059C3"/>
    <w:rsid w:val="00D05A60"/>
    <w:rsid w:val="00D069D9"/>
    <w:rsid w:val="00D112F1"/>
    <w:rsid w:val="00D11685"/>
    <w:rsid w:val="00D12979"/>
    <w:rsid w:val="00D15ABB"/>
    <w:rsid w:val="00D20EC9"/>
    <w:rsid w:val="00D21BB0"/>
    <w:rsid w:val="00D22581"/>
    <w:rsid w:val="00D23A85"/>
    <w:rsid w:val="00D23B40"/>
    <w:rsid w:val="00D23CC6"/>
    <w:rsid w:val="00D26836"/>
    <w:rsid w:val="00D27167"/>
    <w:rsid w:val="00D274CF"/>
    <w:rsid w:val="00D27921"/>
    <w:rsid w:val="00D31B12"/>
    <w:rsid w:val="00D32007"/>
    <w:rsid w:val="00D323E8"/>
    <w:rsid w:val="00D370BB"/>
    <w:rsid w:val="00D408ED"/>
    <w:rsid w:val="00D418EF"/>
    <w:rsid w:val="00D41D50"/>
    <w:rsid w:val="00D4567F"/>
    <w:rsid w:val="00D474D6"/>
    <w:rsid w:val="00D47CF9"/>
    <w:rsid w:val="00D518E1"/>
    <w:rsid w:val="00D51B66"/>
    <w:rsid w:val="00D5239B"/>
    <w:rsid w:val="00D53145"/>
    <w:rsid w:val="00D54450"/>
    <w:rsid w:val="00D54C21"/>
    <w:rsid w:val="00D554AE"/>
    <w:rsid w:val="00D56AA6"/>
    <w:rsid w:val="00D57B23"/>
    <w:rsid w:val="00D603F2"/>
    <w:rsid w:val="00D608AD"/>
    <w:rsid w:val="00D635B9"/>
    <w:rsid w:val="00D640F1"/>
    <w:rsid w:val="00D65E11"/>
    <w:rsid w:val="00D66EDB"/>
    <w:rsid w:val="00D701E0"/>
    <w:rsid w:val="00D70475"/>
    <w:rsid w:val="00D71646"/>
    <w:rsid w:val="00D71A3A"/>
    <w:rsid w:val="00D720A2"/>
    <w:rsid w:val="00D7367B"/>
    <w:rsid w:val="00D746CF"/>
    <w:rsid w:val="00D75560"/>
    <w:rsid w:val="00D76054"/>
    <w:rsid w:val="00D76B47"/>
    <w:rsid w:val="00D76F23"/>
    <w:rsid w:val="00D83A20"/>
    <w:rsid w:val="00D849AF"/>
    <w:rsid w:val="00D8534B"/>
    <w:rsid w:val="00D85B39"/>
    <w:rsid w:val="00D86F86"/>
    <w:rsid w:val="00D87CAC"/>
    <w:rsid w:val="00D9184B"/>
    <w:rsid w:val="00D920B7"/>
    <w:rsid w:val="00D92FD6"/>
    <w:rsid w:val="00D939AE"/>
    <w:rsid w:val="00DA011B"/>
    <w:rsid w:val="00DA035A"/>
    <w:rsid w:val="00DA502E"/>
    <w:rsid w:val="00DA70F3"/>
    <w:rsid w:val="00DA770F"/>
    <w:rsid w:val="00DB00FC"/>
    <w:rsid w:val="00DB57AA"/>
    <w:rsid w:val="00DB77A0"/>
    <w:rsid w:val="00DB7F7F"/>
    <w:rsid w:val="00DC0DDD"/>
    <w:rsid w:val="00DC1CB5"/>
    <w:rsid w:val="00DC1F9F"/>
    <w:rsid w:val="00DC357C"/>
    <w:rsid w:val="00DC4D9D"/>
    <w:rsid w:val="00DC54F0"/>
    <w:rsid w:val="00DC7849"/>
    <w:rsid w:val="00DC78F6"/>
    <w:rsid w:val="00DD09F1"/>
    <w:rsid w:val="00DD0CA4"/>
    <w:rsid w:val="00DD1FB6"/>
    <w:rsid w:val="00DD20FA"/>
    <w:rsid w:val="00DD2E5D"/>
    <w:rsid w:val="00DD3BB5"/>
    <w:rsid w:val="00DD5490"/>
    <w:rsid w:val="00DD67C6"/>
    <w:rsid w:val="00DD73A1"/>
    <w:rsid w:val="00DD7F16"/>
    <w:rsid w:val="00DD7FEE"/>
    <w:rsid w:val="00DE1A21"/>
    <w:rsid w:val="00DE5F7E"/>
    <w:rsid w:val="00DE6A75"/>
    <w:rsid w:val="00DE6C97"/>
    <w:rsid w:val="00DE7D84"/>
    <w:rsid w:val="00DF00BD"/>
    <w:rsid w:val="00DF0961"/>
    <w:rsid w:val="00DF19EF"/>
    <w:rsid w:val="00DF2179"/>
    <w:rsid w:val="00DF22D2"/>
    <w:rsid w:val="00DF2AEE"/>
    <w:rsid w:val="00DF2C71"/>
    <w:rsid w:val="00DF2EAB"/>
    <w:rsid w:val="00DF44E4"/>
    <w:rsid w:val="00DF6BC4"/>
    <w:rsid w:val="00DF762D"/>
    <w:rsid w:val="00E000BF"/>
    <w:rsid w:val="00E02487"/>
    <w:rsid w:val="00E025EE"/>
    <w:rsid w:val="00E029EC"/>
    <w:rsid w:val="00E02BE0"/>
    <w:rsid w:val="00E03228"/>
    <w:rsid w:val="00E03B44"/>
    <w:rsid w:val="00E03D6F"/>
    <w:rsid w:val="00E047AB"/>
    <w:rsid w:val="00E05C80"/>
    <w:rsid w:val="00E05D76"/>
    <w:rsid w:val="00E0685D"/>
    <w:rsid w:val="00E070CD"/>
    <w:rsid w:val="00E07C8C"/>
    <w:rsid w:val="00E07FDD"/>
    <w:rsid w:val="00E10D42"/>
    <w:rsid w:val="00E12240"/>
    <w:rsid w:val="00E13615"/>
    <w:rsid w:val="00E137E7"/>
    <w:rsid w:val="00E13B58"/>
    <w:rsid w:val="00E146EF"/>
    <w:rsid w:val="00E1480A"/>
    <w:rsid w:val="00E200BD"/>
    <w:rsid w:val="00E203D1"/>
    <w:rsid w:val="00E21754"/>
    <w:rsid w:val="00E22C74"/>
    <w:rsid w:val="00E23785"/>
    <w:rsid w:val="00E23A1F"/>
    <w:rsid w:val="00E26112"/>
    <w:rsid w:val="00E268C3"/>
    <w:rsid w:val="00E30116"/>
    <w:rsid w:val="00E3051E"/>
    <w:rsid w:val="00E31976"/>
    <w:rsid w:val="00E32D7C"/>
    <w:rsid w:val="00E33B3D"/>
    <w:rsid w:val="00E35231"/>
    <w:rsid w:val="00E366DC"/>
    <w:rsid w:val="00E36FD3"/>
    <w:rsid w:val="00E37EC5"/>
    <w:rsid w:val="00E41B75"/>
    <w:rsid w:val="00E42E9B"/>
    <w:rsid w:val="00E4321B"/>
    <w:rsid w:val="00E445AA"/>
    <w:rsid w:val="00E446C4"/>
    <w:rsid w:val="00E4729C"/>
    <w:rsid w:val="00E51E58"/>
    <w:rsid w:val="00E51FF0"/>
    <w:rsid w:val="00E521EC"/>
    <w:rsid w:val="00E522D5"/>
    <w:rsid w:val="00E5360E"/>
    <w:rsid w:val="00E541F9"/>
    <w:rsid w:val="00E54D93"/>
    <w:rsid w:val="00E55489"/>
    <w:rsid w:val="00E555D4"/>
    <w:rsid w:val="00E558A9"/>
    <w:rsid w:val="00E57962"/>
    <w:rsid w:val="00E57DA3"/>
    <w:rsid w:val="00E60FA8"/>
    <w:rsid w:val="00E62B6A"/>
    <w:rsid w:val="00E646A4"/>
    <w:rsid w:val="00E64BC1"/>
    <w:rsid w:val="00E6638E"/>
    <w:rsid w:val="00E6650B"/>
    <w:rsid w:val="00E66923"/>
    <w:rsid w:val="00E66CF5"/>
    <w:rsid w:val="00E6706B"/>
    <w:rsid w:val="00E67BB0"/>
    <w:rsid w:val="00E7030E"/>
    <w:rsid w:val="00E7210C"/>
    <w:rsid w:val="00E73458"/>
    <w:rsid w:val="00E74C85"/>
    <w:rsid w:val="00E75490"/>
    <w:rsid w:val="00E7609A"/>
    <w:rsid w:val="00E80DAF"/>
    <w:rsid w:val="00E80EBF"/>
    <w:rsid w:val="00E81765"/>
    <w:rsid w:val="00E81C89"/>
    <w:rsid w:val="00E82303"/>
    <w:rsid w:val="00E825C6"/>
    <w:rsid w:val="00E850EE"/>
    <w:rsid w:val="00E85AA5"/>
    <w:rsid w:val="00E901F6"/>
    <w:rsid w:val="00E90928"/>
    <w:rsid w:val="00E90F47"/>
    <w:rsid w:val="00E91547"/>
    <w:rsid w:val="00E9209B"/>
    <w:rsid w:val="00E92FFD"/>
    <w:rsid w:val="00E932CE"/>
    <w:rsid w:val="00E94F82"/>
    <w:rsid w:val="00E950C9"/>
    <w:rsid w:val="00E95BB8"/>
    <w:rsid w:val="00E95EDA"/>
    <w:rsid w:val="00E96693"/>
    <w:rsid w:val="00E97353"/>
    <w:rsid w:val="00EA1491"/>
    <w:rsid w:val="00EA15E9"/>
    <w:rsid w:val="00EA21F3"/>
    <w:rsid w:val="00EA3971"/>
    <w:rsid w:val="00EA43B0"/>
    <w:rsid w:val="00EA7D98"/>
    <w:rsid w:val="00EB1431"/>
    <w:rsid w:val="00EB154B"/>
    <w:rsid w:val="00EB1F94"/>
    <w:rsid w:val="00EB473C"/>
    <w:rsid w:val="00EB4B9B"/>
    <w:rsid w:val="00EB53B5"/>
    <w:rsid w:val="00EC3CA8"/>
    <w:rsid w:val="00EC4F48"/>
    <w:rsid w:val="00EC5791"/>
    <w:rsid w:val="00EC7108"/>
    <w:rsid w:val="00EC7F92"/>
    <w:rsid w:val="00ED07C8"/>
    <w:rsid w:val="00ED0A8D"/>
    <w:rsid w:val="00ED0E2F"/>
    <w:rsid w:val="00ED23F7"/>
    <w:rsid w:val="00ED2DB4"/>
    <w:rsid w:val="00ED52D6"/>
    <w:rsid w:val="00ED581A"/>
    <w:rsid w:val="00ED60CA"/>
    <w:rsid w:val="00ED64DB"/>
    <w:rsid w:val="00ED6D76"/>
    <w:rsid w:val="00EE16B5"/>
    <w:rsid w:val="00EE3947"/>
    <w:rsid w:val="00EE4D62"/>
    <w:rsid w:val="00EE5C61"/>
    <w:rsid w:val="00EE6125"/>
    <w:rsid w:val="00EE6185"/>
    <w:rsid w:val="00EF0240"/>
    <w:rsid w:val="00EF10FA"/>
    <w:rsid w:val="00EF1528"/>
    <w:rsid w:val="00EF4A0C"/>
    <w:rsid w:val="00EF55CE"/>
    <w:rsid w:val="00EF5A74"/>
    <w:rsid w:val="00EF7DB5"/>
    <w:rsid w:val="00F01237"/>
    <w:rsid w:val="00F01454"/>
    <w:rsid w:val="00F0164D"/>
    <w:rsid w:val="00F025DE"/>
    <w:rsid w:val="00F02E0E"/>
    <w:rsid w:val="00F03A23"/>
    <w:rsid w:val="00F03C66"/>
    <w:rsid w:val="00F03FD8"/>
    <w:rsid w:val="00F04A92"/>
    <w:rsid w:val="00F052FB"/>
    <w:rsid w:val="00F0530E"/>
    <w:rsid w:val="00F0555D"/>
    <w:rsid w:val="00F05A02"/>
    <w:rsid w:val="00F12ECB"/>
    <w:rsid w:val="00F12F42"/>
    <w:rsid w:val="00F17332"/>
    <w:rsid w:val="00F20190"/>
    <w:rsid w:val="00F21A16"/>
    <w:rsid w:val="00F21A8A"/>
    <w:rsid w:val="00F238EF"/>
    <w:rsid w:val="00F30730"/>
    <w:rsid w:val="00F30943"/>
    <w:rsid w:val="00F32140"/>
    <w:rsid w:val="00F3340B"/>
    <w:rsid w:val="00F34DC0"/>
    <w:rsid w:val="00F35DD1"/>
    <w:rsid w:val="00F378D0"/>
    <w:rsid w:val="00F421E6"/>
    <w:rsid w:val="00F4241C"/>
    <w:rsid w:val="00F42608"/>
    <w:rsid w:val="00F44BEF"/>
    <w:rsid w:val="00F4562F"/>
    <w:rsid w:val="00F475A7"/>
    <w:rsid w:val="00F479C9"/>
    <w:rsid w:val="00F5028B"/>
    <w:rsid w:val="00F50FCD"/>
    <w:rsid w:val="00F515C7"/>
    <w:rsid w:val="00F51C55"/>
    <w:rsid w:val="00F52DB4"/>
    <w:rsid w:val="00F533F0"/>
    <w:rsid w:val="00F54011"/>
    <w:rsid w:val="00F55D27"/>
    <w:rsid w:val="00F563EF"/>
    <w:rsid w:val="00F6130F"/>
    <w:rsid w:val="00F618C6"/>
    <w:rsid w:val="00F62257"/>
    <w:rsid w:val="00F6248A"/>
    <w:rsid w:val="00F63136"/>
    <w:rsid w:val="00F63A86"/>
    <w:rsid w:val="00F63CAF"/>
    <w:rsid w:val="00F640A5"/>
    <w:rsid w:val="00F64E35"/>
    <w:rsid w:val="00F700DC"/>
    <w:rsid w:val="00F71230"/>
    <w:rsid w:val="00F713C4"/>
    <w:rsid w:val="00F7159B"/>
    <w:rsid w:val="00F74AE2"/>
    <w:rsid w:val="00F7574F"/>
    <w:rsid w:val="00F758A0"/>
    <w:rsid w:val="00F77EED"/>
    <w:rsid w:val="00F80146"/>
    <w:rsid w:val="00F8023E"/>
    <w:rsid w:val="00F81C74"/>
    <w:rsid w:val="00F82DB6"/>
    <w:rsid w:val="00F82F04"/>
    <w:rsid w:val="00F85088"/>
    <w:rsid w:val="00F852C2"/>
    <w:rsid w:val="00F8687C"/>
    <w:rsid w:val="00F86AB9"/>
    <w:rsid w:val="00F87807"/>
    <w:rsid w:val="00F87926"/>
    <w:rsid w:val="00F90496"/>
    <w:rsid w:val="00F9251B"/>
    <w:rsid w:val="00F930DA"/>
    <w:rsid w:val="00F93B27"/>
    <w:rsid w:val="00F95610"/>
    <w:rsid w:val="00FA68AF"/>
    <w:rsid w:val="00FB1C92"/>
    <w:rsid w:val="00FB1D95"/>
    <w:rsid w:val="00FB2748"/>
    <w:rsid w:val="00FB45A6"/>
    <w:rsid w:val="00FB75A8"/>
    <w:rsid w:val="00FC09E5"/>
    <w:rsid w:val="00FC156C"/>
    <w:rsid w:val="00FC3D4A"/>
    <w:rsid w:val="00FC7A63"/>
    <w:rsid w:val="00FC7F92"/>
    <w:rsid w:val="00FD27B2"/>
    <w:rsid w:val="00FD29D5"/>
    <w:rsid w:val="00FD2AA7"/>
    <w:rsid w:val="00FD51B7"/>
    <w:rsid w:val="00FD57F9"/>
    <w:rsid w:val="00FD6E3C"/>
    <w:rsid w:val="00FD6F50"/>
    <w:rsid w:val="00FD71FC"/>
    <w:rsid w:val="00FD7576"/>
    <w:rsid w:val="00FE1192"/>
    <w:rsid w:val="00FE40AA"/>
    <w:rsid w:val="00FE50E2"/>
    <w:rsid w:val="00FE6207"/>
    <w:rsid w:val="00FE66F8"/>
    <w:rsid w:val="00FF001C"/>
    <w:rsid w:val="00FF012F"/>
    <w:rsid w:val="00FF0BB5"/>
    <w:rsid w:val="00FF164D"/>
    <w:rsid w:val="00FF42BF"/>
    <w:rsid w:val="00FF67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uiPriority="35"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customStyle="1" w:styleId="ColorfulList-Accent11">
    <w:name w:val="Colorful List - Accent 11"/>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customStyle="1" w:styleId="ColorfulShading-Accent11">
    <w:name w:val="Colorful Shading - Accent 11"/>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customStyle="1" w:styleId="MediumGrid11">
    <w:name w:val="Medium Grid 11"/>
    <w:uiPriority w:val="99"/>
    <w:semiHidden/>
    <w:rsid w:val="00643F50"/>
    <w:rPr>
      <w:color w:val="808080"/>
    </w:rPr>
  </w:style>
  <w:style w:type="character" w:customStyle="1" w:styleId="JuParaChar2">
    <w:name w:val="Ju_Para Char2"/>
    <w:rsid w:val="00B867F5"/>
    <w:rPr>
      <w:sz w:val="24"/>
      <w:lang w:val="en-GB" w:eastAsia="fr-FR" w:bidi="ar-SA"/>
    </w:rPr>
  </w:style>
  <w:style w:type="character" w:customStyle="1" w:styleId="Heading1Char">
    <w:name w:val="Heading 1 Char"/>
    <w:link w:val="Heading1"/>
    <w:rsid w:val="0021148C"/>
    <w:rPr>
      <w:rFonts w:ascii="Cambria" w:eastAsia="MS Gothic" w:hAnsi="Cambria" w:cs="Times New Roman"/>
      <w:b/>
      <w:bCs/>
      <w:color w:val="365F91"/>
      <w:sz w:val="28"/>
      <w:szCs w:val="28"/>
    </w:rPr>
  </w:style>
  <w:style w:type="character" w:customStyle="1" w:styleId="apple-converted-space">
    <w:name w:val="apple-converted-space"/>
    <w:basedOn w:val="DefaultParagraphFont"/>
    <w:rsid w:val="0038216C"/>
  </w:style>
  <w:style w:type="paragraph" w:customStyle="1" w:styleId="s30eec3f8">
    <w:name w:val="s30eec3f8"/>
    <w:basedOn w:val="Normal"/>
    <w:rsid w:val="001C7357"/>
    <w:pPr>
      <w:spacing w:before="100" w:beforeAutospacing="1" w:after="100" w:afterAutospacing="1"/>
    </w:pPr>
  </w:style>
  <w:style w:type="paragraph" w:styleId="BodyText2">
    <w:name w:val="Body Text 2"/>
    <w:basedOn w:val="Normal"/>
    <w:link w:val="BodyText2Char"/>
    <w:rsid w:val="00653994"/>
    <w:pPr>
      <w:tabs>
        <w:tab w:val="left" w:pos="720"/>
      </w:tabs>
      <w:jc w:val="both"/>
    </w:pPr>
    <w:rPr>
      <w:lang w:val="en-GB"/>
    </w:rPr>
  </w:style>
  <w:style w:type="character" w:customStyle="1" w:styleId="BodyText2Char">
    <w:name w:val="Body Text 2 Char"/>
    <w:link w:val="BodyText2"/>
    <w:rsid w:val="00653994"/>
    <w:rPr>
      <w:sz w:val="24"/>
      <w:szCs w:val="24"/>
      <w:lang w:val="en-GB"/>
    </w:rPr>
  </w:style>
  <w:style w:type="paragraph" w:styleId="ListParagraph">
    <w:name w:val="List Paragraph"/>
    <w:basedOn w:val="Normal"/>
    <w:uiPriority w:val="72"/>
    <w:qFormat/>
    <w:rsid w:val="00EF1528"/>
    <w:pPr>
      <w:ind w:left="720"/>
      <w:contextualSpacing/>
    </w:pPr>
  </w:style>
  <w:style w:type="character" w:styleId="FollowedHyperlink">
    <w:name w:val="FollowedHyperlink"/>
    <w:basedOn w:val="DefaultParagraphFont"/>
    <w:rsid w:val="00A842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uiPriority="35"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customStyle="1" w:styleId="ColorfulList-Accent11">
    <w:name w:val="Colorful List - Accent 11"/>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customStyle="1" w:styleId="ColorfulShading-Accent11">
    <w:name w:val="Colorful Shading - Accent 11"/>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customStyle="1" w:styleId="MediumGrid11">
    <w:name w:val="Medium Grid 11"/>
    <w:uiPriority w:val="99"/>
    <w:semiHidden/>
    <w:rsid w:val="00643F50"/>
    <w:rPr>
      <w:color w:val="808080"/>
    </w:rPr>
  </w:style>
  <w:style w:type="character" w:customStyle="1" w:styleId="JuParaChar2">
    <w:name w:val="Ju_Para Char2"/>
    <w:rsid w:val="00B867F5"/>
    <w:rPr>
      <w:sz w:val="24"/>
      <w:lang w:val="en-GB" w:eastAsia="fr-FR" w:bidi="ar-SA"/>
    </w:rPr>
  </w:style>
  <w:style w:type="character" w:customStyle="1" w:styleId="Heading1Char">
    <w:name w:val="Heading 1 Char"/>
    <w:link w:val="Heading1"/>
    <w:rsid w:val="0021148C"/>
    <w:rPr>
      <w:rFonts w:ascii="Cambria" w:eastAsia="MS Gothic" w:hAnsi="Cambria" w:cs="Times New Roman"/>
      <w:b/>
      <w:bCs/>
      <w:color w:val="365F91"/>
      <w:sz w:val="28"/>
      <w:szCs w:val="28"/>
    </w:rPr>
  </w:style>
  <w:style w:type="character" w:customStyle="1" w:styleId="apple-converted-space">
    <w:name w:val="apple-converted-space"/>
    <w:basedOn w:val="DefaultParagraphFont"/>
    <w:rsid w:val="0038216C"/>
  </w:style>
  <w:style w:type="paragraph" w:customStyle="1" w:styleId="s30eec3f8">
    <w:name w:val="s30eec3f8"/>
    <w:basedOn w:val="Normal"/>
    <w:rsid w:val="001C7357"/>
    <w:pPr>
      <w:spacing w:before="100" w:beforeAutospacing="1" w:after="100" w:afterAutospacing="1"/>
    </w:pPr>
  </w:style>
  <w:style w:type="paragraph" w:styleId="BodyText2">
    <w:name w:val="Body Text 2"/>
    <w:basedOn w:val="Normal"/>
    <w:link w:val="BodyText2Char"/>
    <w:rsid w:val="00653994"/>
    <w:pPr>
      <w:tabs>
        <w:tab w:val="left" w:pos="720"/>
      </w:tabs>
      <w:jc w:val="both"/>
    </w:pPr>
    <w:rPr>
      <w:lang w:val="en-GB"/>
    </w:rPr>
  </w:style>
  <w:style w:type="character" w:customStyle="1" w:styleId="BodyText2Char">
    <w:name w:val="Body Text 2 Char"/>
    <w:link w:val="BodyText2"/>
    <w:rsid w:val="00653994"/>
    <w:rPr>
      <w:sz w:val="24"/>
      <w:szCs w:val="24"/>
      <w:lang w:val="en-GB"/>
    </w:rPr>
  </w:style>
  <w:style w:type="paragraph" w:styleId="ListParagraph">
    <w:name w:val="List Paragraph"/>
    <w:basedOn w:val="Normal"/>
    <w:uiPriority w:val="72"/>
    <w:qFormat/>
    <w:rsid w:val="00EF1528"/>
    <w:pPr>
      <w:ind w:left="720"/>
      <w:contextualSpacing/>
    </w:pPr>
  </w:style>
  <w:style w:type="character" w:styleId="FollowedHyperlink">
    <w:name w:val="FollowedHyperlink"/>
    <w:basedOn w:val="DefaultParagraphFont"/>
    <w:rsid w:val="00A842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99838922">
      <w:bodyDiv w:val="1"/>
      <w:marLeft w:val="0"/>
      <w:marRight w:val="0"/>
      <w:marTop w:val="0"/>
      <w:marBottom w:val="0"/>
      <w:divBdr>
        <w:top w:val="none" w:sz="0" w:space="0" w:color="auto"/>
        <w:left w:val="none" w:sz="0" w:space="0" w:color="auto"/>
        <w:bottom w:val="none" w:sz="0" w:space="0" w:color="auto"/>
        <w:right w:val="none" w:sz="0" w:space="0" w:color="auto"/>
      </w:divBdr>
      <w:divsChild>
        <w:div w:id="524366609">
          <w:marLeft w:val="0"/>
          <w:marRight w:val="0"/>
          <w:marTop w:val="0"/>
          <w:marBottom w:val="0"/>
          <w:divBdr>
            <w:top w:val="single" w:sz="12" w:space="11" w:color="CCCCCC"/>
            <w:left w:val="none" w:sz="0" w:space="0" w:color="auto"/>
            <w:bottom w:val="none" w:sz="0" w:space="0" w:color="auto"/>
            <w:right w:val="none" w:sz="0" w:space="0" w:color="auto"/>
          </w:divBdr>
        </w:div>
      </w:divsChild>
    </w:div>
    <w:div w:id="487668236">
      <w:bodyDiv w:val="1"/>
      <w:marLeft w:val="0"/>
      <w:marRight w:val="0"/>
      <w:marTop w:val="0"/>
      <w:marBottom w:val="0"/>
      <w:divBdr>
        <w:top w:val="none" w:sz="0" w:space="0" w:color="auto"/>
        <w:left w:val="none" w:sz="0" w:space="0" w:color="auto"/>
        <w:bottom w:val="none" w:sz="0" w:space="0" w:color="auto"/>
        <w:right w:val="none" w:sz="0" w:space="0" w:color="auto"/>
      </w:divBdr>
      <w:divsChild>
        <w:div w:id="1808165319">
          <w:marLeft w:val="0"/>
          <w:marRight w:val="0"/>
          <w:marTop w:val="0"/>
          <w:marBottom w:val="0"/>
          <w:divBdr>
            <w:top w:val="none" w:sz="0" w:space="0" w:color="auto"/>
            <w:left w:val="none" w:sz="0" w:space="0" w:color="auto"/>
            <w:bottom w:val="none" w:sz="0" w:space="0" w:color="auto"/>
            <w:right w:val="none" w:sz="0" w:space="0" w:color="auto"/>
          </w:divBdr>
          <w:divsChild>
            <w:div w:id="706367269">
              <w:marLeft w:val="0"/>
              <w:marRight w:val="0"/>
              <w:marTop w:val="0"/>
              <w:marBottom w:val="0"/>
              <w:divBdr>
                <w:top w:val="none" w:sz="0" w:space="0" w:color="auto"/>
                <w:left w:val="none" w:sz="0" w:space="0" w:color="auto"/>
                <w:bottom w:val="none" w:sz="0" w:space="0" w:color="auto"/>
                <w:right w:val="none" w:sz="0" w:space="0" w:color="auto"/>
              </w:divBdr>
              <w:divsChild>
                <w:div w:id="1386753005">
                  <w:marLeft w:val="0"/>
                  <w:marRight w:val="0"/>
                  <w:marTop w:val="0"/>
                  <w:marBottom w:val="0"/>
                  <w:divBdr>
                    <w:top w:val="none" w:sz="0" w:space="0" w:color="auto"/>
                    <w:left w:val="none" w:sz="0" w:space="0" w:color="auto"/>
                    <w:bottom w:val="none" w:sz="0" w:space="0" w:color="auto"/>
                    <w:right w:val="none" w:sz="0" w:space="0" w:color="auto"/>
                  </w:divBdr>
                  <w:divsChild>
                    <w:div w:id="306055628">
                      <w:marLeft w:val="0"/>
                      <w:marRight w:val="0"/>
                      <w:marTop w:val="0"/>
                      <w:marBottom w:val="0"/>
                      <w:divBdr>
                        <w:top w:val="none" w:sz="0" w:space="0" w:color="auto"/>
                        <w:left w:val="none" w:sz="0" w:space="0" w:color="auto"/>
                        <w:bottom w:val="none" w:sz="0" w:space="0" w:color="auto"/>
                        <w:right w:val="none" w:sz="0" w:space="0" w:color="auto"/>
                      </w:divBdr>
                      <w:divsChild>
                        <w:div w:id="1498305792">
                          <w:marLeft w:val="0"/>
                          <w:marRight w:val="0"/>
                          <w:marTop w:val="0"/>
                          <w:marBottom w:val="0"/>
                          <w:divBdr>
                            <w:top w:val="none" w:sz="0" w:space="0" w:color="auto"/>
                            <w:left w:val="none" w:sz="0" w:space="0" w:color="auto"/>
                            <w:bottom w:val="none" w:sz="0" w:space="0" w:color="auto"/>
                            <w:right w:val="none" w:sz="0" w:space="0" w:color="auto"/>
                          </w:divBdr>
                          <w:divsChild>
                            <w:div w:id="4642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206286187">
      <w:bodyDiv w:val="1"/>
      <w:marLeft w:val="0"/>
      <w:marRight w:val="0"/>
      <w:marTop w:val="0"/>
      <w:marBottom w:val="0"/>
      <w:divBdr>
        <w:top w:val="none" w:sz="0" w:space="0" w:color="auto"/>
        <w:left w:val="none" w:sz="0" w:space="0" w:color="auto"/>
        <w:bottom w:val="none" w:sz="0" w:space="0" w:color="auto"/>
        <w:right w:val="none" w:sz="0" w:space="0" w:color="auto"/>
      </w:divBdr>
    </w:div>
    <w:div w:id="1420325728">
      <w:bodyDiv w:val="1"/>
      <w:marLeft w:val="0"/>
      <w:marRight w:val="0"/>
      <w:marTop w:val="0"/>
      <w:marBottom w:val="0"/>
      <w:divBdr>
        <w:top w:val="none" w:sz="0" w:space="0" w:color="auto"/>
        <w:left w:val="none" w:sz="0" w:space="0" w:color="auto"/>
        <w:bottom w:val="none" w:sz="0" w:space="0" w:color="auto"/>
        <w:right w:val="none" w:sz="0" w:space="0" w:color="auto"/>
      </w:divBdr>
    </w:div>
    <w:div w:id="1522552952">
      <w:bodyDiv w:val="1"/>
      <w:marLeft w:val="0"/>
      <w:marRight w:val="0"/>
      <w:marTop w:val="0"/>
      <w:marBottom w:val="0"/>
      <w:divBdr>
        <w:top w:val="none" w:sz="0" w:space="0" w:color="auto"/>
        <w:left w:val="none" w:sz="0" w:space="0" w:color="auto"/>
        <w:bottom w:val="none" w:sz="0" w:space="0" w:color="auto"/>
        <w:right w:val="none" w:sz="0" w:space="0" w:color="auto"/>
      </w:divBdr>
      <w:divsChild>
        <w:div w:id="747848784">
          <w:marLeft w:val="0"/>
          <w:marRight w:val="0"/>
          <w:marTop w:val="0"/>
          <w:marBottom w:val="0"/>
          <w:divBdr>
            <w:top w:val="single" w:sz="12" w:space="11" w:color="CCCCCC"/>
            <w:left w:val="none" w:sz="0" w:space="0" w:color="auto"/>
            <w:bottom w:val="none" w:sz="0" w:space="0" w:color="auto"/>
            <w:right w:val="none" w:sz="0" w:space="0" w:color="auto"/>
          </w:divBdr>
        </w:div>
      </w:divsChild>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41461164">
      <w:bodyDiv w:val="1"/>
      <w:marLeft w:val="0"/>
      <w:marRight w:val="0"/>
      <w:marTop w:val="0"/>
      <w:marBottom w:val="0"/>
      <w:divBdr>
        <w:top w:val="none" w:sz="0" w:space="0" w:color="auto"/>
        <w:left w:val="none" w:sz="0" w:space="0" w:color="auto"/>
        <w:bottom w:val="none" w:sz="0" w:space="0" w:color="auto"/>
        <w:right w:val="none" w:sz="0" w:space="0" w:color="auto"/>
      </w:divBdr>
    </w:div>
    <w:div w:id="194268438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8229161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familylinks.icrc.org/kosovo/en/pages/search-persons.aspx"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NIKOLIĆ, Lela</Reference>
    <Case_x0020_Year xmlns="63130c8a-8d1f-4e28-8ee3-43603ca9ef3b">2009</Case_x0020_Year>
    <Case_x0020_Status xmlns="16f2acb5-7363-4076-9084-069fc3bb4325">CASE CLOSED</Case_x0020_Status>
    <Date_x0020_of_x0020_Adoption xmlns="16f2acb5-7363-4076-9084-069fc3bb4325">2014-12-13T23:00:00+00:00</Date_x0020_of_x0020_Adoption>
    <Case_x0020_Number xmlns="16f2acb5-7363-4076-9084-069fc3bb4325">074/09</Case_x0020_Number>
    <Type_x0020_of_x0020_Document xmlns="16f2acb5-7363-4076-9084-069fc3bb4325">Opinion</Type_x0020_of_x0020_Document>
    <_dlc_DocId xmlns="b9fab99d-1571-47f6-8995-3a195ef041f8">M5JDUUKXSQ5W-25-1063</_dlc_DocId>
    <_dlc_DocIdUrl xmlns="b9fab99d-1571-47f6-8995-3a195ef041f8">
      <Url>http://www.unmikonline.org/hrap/Eng/_layouts/DocIdRedir.aspx?ID=M5JDUUKXSQ5W-25-1063</Url>
      <Description>M5JDUUKXSQ5W-25-1063</Description>
    </_dlc_DocIdUrl>
  </documentManagement>
</p:properties>
</file>

<file path=customXml/itemProps1.xml><?xml version="1.0" encoding="utf-8"?>
<ds:datastoreItem xmlns:ds="http://schemas.openxmlformats.org/officeDocument/2006/customXml" ds:itemID="{5D2879F6-7D9A-4B6C-B57B-CD622867EA5F}"/>
</file>

<file path=customXml/itemProps2.xml><?xml version="1.0" encoding="utf-8"?>
<ds:datastoreItem xmlns:ds="http://schemas.openxmlformats.org/officeDocument/2006/customXml" ds:itemID="{DF3B987A-40F9-4AAA-BE9F-2187AABBDE91}"/>
</file>

<file path=customXml/itemProps3.xml><?xml version="1.0" encoding="utf-8"?>
<ds:datastoreItem xmlns:ds="http://schemas.openxmlformats.org/officeDocument/2006/customXml" ds:itemID="{4C0E4377-8AE4-4F3F-A1A5-AE263A568888}"/>
</file>

<file path=customXml/itemProps4.xml><?xml version="1.0" encoding="utf-8"?>
<ds:datastoreItem xmlns:ds="http://schemas.openxmlformats.org/officeDocument/2006/customXml" ds:itemID="{C1D32C94-1325-4C18-A9DF-EEC0085E36F1}"/>
</file>

<file path=customXml/itemProps5.xml><?xml version="1.0" encoding="utf-8"?>
<ds:datastoreItem xmlns:ds="http://schemas.openxmlformats.org/officeDocument/2006/customXml" ds:itemID="{7BE8BFF0-7954-4690-B68D-4DABCEB130F0}"/>
</file>

<file path=docProps/app.xml><?xml version="1.0" encoding="utf-8"?>
<Properties xmlns="http://schemas.openxmlformats.org/officeDocument/2006/extended-properties" xmlns:vt="http://schemas.openxmlformats.org/officeDocument/2006/docPropsVTypes">
  <Template>Normal</Template>
  <TotalTime>0</TotalTime>
  <Pages>51</Pages>
  <Words>22757</Words>
  <Characters>129721</Characters>
  <Application>Microsoft Office Word</Application>
  <DocSecurity>0</DocSecurity>
  <Lines>1081</Lines>
  <Paragraphs>304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Company>
  <LinksUpToDate>false</LinksUpToDate>
  <CharactersWithSpaces>152174</CharactersWithSpaces>
  <SharedDoc>false</SharedDoc>
  <HLinks>
    <vt:vector size="36" baseType="variant">
      <vt:variant>
        <vt:i4>3473468</vt:i4>
      </vt:variant>
      <vt:variant>
        <vt:i4>33</vt:i4>
      </vt:variant>
      <vt:variant>
        <vt:i4>0</vt:i4>
      </vt:variant>
      <vt:variant>
        <vt:i4>5</vt:i4>
      </vt:variant>
      <vt:variant>
        <vt:lpwstr>http://untreaty.un.org/English/TreatyEvent2001/pdf/07e.pdf</vt:lpwstr>
      </vt:variant>
      <vt:variant>
        <vt:lpwstr/>
      </vt:variant>
      <vt:variant>
        <vt:i4>3735654</vt:i4>
      </vt:variant>
      <vt:variant>
        <vt:i4>12</vt:i4>
      </vt:variant>
      <vt:variant>
        <vt:i4>0</vt:i4>
      </vt:variant>
      <vt:variant>
        <vt:i4>5</vt:i4>
      </vt:variant>
      <vt:variant>
        <vt:lpwstr>http://www.hlc-rdc.org/wp-content/uploads/2013/02/KO-Abductions-and-disappearances-of-non-Albanians-in-Kosovo-1.pdf</vt:lpwstr>
      </vt:variant>
      <vt:variant>
        <vt:lpwstr/>
      </vt:variant>
      <vt:variant>
        <vt:i4>2359372</vt:i4>
      </vt:variant>
      <vt:variant>
        <vt:i4>9</vt:i4>
      </vt:variant>
      <vt:variant>
        <vt:i4>0</vt:i4>
      </vt:variant>
      <vt:variant>
        <vt:i4>5</vt:i4>
      </vt:variant>
      <vt:variant>
        <vt:lpwstr>http://www.ic-mp.org/fdmsweb/index.php?w=mp_details&amp;l=en</vt:lpwstr>
      </vt:variant>
      <vt:variant>
        <vt:lpwstr/>
      </vt:variant>
      <vt:variant>
        <vt:i4>2818158</vt:i4>
      </vt:variant>
      <vt:variant>
        <vt:i4>6</vt:i4>
      </vt:variant>
      <vt:variant>
        <vt:i4>0</vt:i4>
      </vt:variant>
      <vt:variant>
        <vt:i4>5</vt:i4>
      </vt:variant>
      <vt:variant>
        <vt:lpwstr>http://familylinks.icrc.org/kosovo/en/pages/search-persons.aspx</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2015-01-20T09:42:00Z</cp:lastPrinted>
  <dcterms:created xsi:type="dcterms:W3CDTF">2015-02-11T08:41:00Z</dcterms:created>
  <dcterms:modified xsi:type="dcterms:W3CDTF">2015-02-11T08:41:00Z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cd806e51-2a5f-4f3b-b852-821035f39e92</vt:lpwstr>
  </property>
</Properties>
</file>